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F3D" w:rsidRDefault="00742DE3" w:rsidP="00742DE3">
      <w:r w:rsidRPr="00742DE3">
        <w:rPr>
          <w:noProof/>
          <w:lang w:eastAsia="en-GB"/>
        </w:rPr>
        <w:drawing>
          <wp:inline distT="0" distB="0" distL="0" distR="0" wp14:anchorId="2C28123F" wp14:editId="6F444D58">
            <wp:extent cx="2037080" cy="557530"/>
            <wp:effectExtent l="0" t="0" r="1270" b="0"/>
            <wp:docPr id="181" name="Picture 181" descr="The Education Authority logo &#10;&#10;The logo has a tulip shape image in blue, green and yellow, with the letters EA and word Education Authority to right of the imag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 descr="The Education Authority logo &#10;&#10;The logo has a tulip shape image in blue, green and yellow, with the letters EA and word Education Authority to right of the image.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0D5">
        <w:t xml:space="preserve">             </w:t>
      </w:r>
      <w:r w:rsidR="00FF30D5">
        <w:rPr>
          <w:noProof/>
        </w:rPr>
        <w:drawing>
          <wp:inline distT="0" distB="0" distL="0" distR="0" wp14:anchorId="6F60C3DE" wp14:editId="5BD7AA33">
            <wp:extent cx="1250315" cy="723265"/>
            <wp:effectExtent l="0" t="0" r="6985" b="635"/>
            <wp:docPr id="1631760275" name="Picture 1" descr="Sensory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60275" name="Picture 1" descr="Sensory Service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DE3" w:rsidRPr="00742DE3" w:rsidRDefault="00742DE3" w:rsidP="00742DE3">
      <w:r w:rsidRPr="00742DE3">
        <w:t>EA Sensory Service – Vision Impairment</w:t>
      </w:r>
    </w:p>
    <w:p w:rsidR="00742DE3" w:rsidRPr="00742DE3" w:rsidRDefault="00742DE3" w:rsidP="00742DE3">
      <w:pPr>
        <w:keepNext/>
        <w:keepLines/>
        <w:spacing w:before="40"/>
        <w:outlineLvl w:val="2"/>
        <w:rPr>
          <w:rFonts w:eastAsiaTheme="majorEastAsia" w:cstheme="majorBidi"/>
          <w:b/>
          <w:sz w:val="36"/>
          <w:szCs w:val="24"/>
        </w:rPr>
      </w:pPr>
    </w:p>
    <w:p w:rsidR="00742DE3" w:rsidRDefault="00742DE3" w:rsidP="007E7762">
      <w:pPr>
        <w:pStyle w:val="Heading4"/>
        <w:rPr>
          <w:lang w:val="en-US" w:eastAsia="en-GB"/>
        </w:rPr>
      </w:pPr>
      <w:r w:rsidRPr="00742DE3">
        <w:rPr>
          <w:lang w:val="en-US" w:eastAsia="en-GB"/>
        </w:rPr>
        <w:t>Achromatopsia</w:t>
      </w:r>
    </w:p>
    <w:p w:rsidR="00D23153" w:rsidRPr="00742DE3" w:rsidRDefault="00D23153" w:rsidP="007E7762">
      <w:pPr>
        <w:pStyle w:val="Heading5"/>
        <w:rPr>
          <w:lang w:val="en-US" w:eastAsia="en-GB"/>
        </w:rPr>
      </w:pPr>
    </w:p>
    <w:p w:rsidR="00742DE3" w:rsidRPr="00742DE3" w:rsidRDefault="00742DE3" w:rsidP="007E7762">
      <w:pPr>
        <w:pStyle w:val="Heading5"/>
      </w:pPr>
      <w:r>
        <w:t>What is achromatopsia?</w:t>
      </w:r>
    </w:p>
    <w:p w:rsidR="004306CB" w:rsidRDefault="00742DE3" w:rsidP="004306CB">
      <w:pPr>
        <w:pStyle w:val="ListParagraph"/>
        <w:numPr>
          <w:ilvl w:val="0"/>
          <w:numId w:val="1"/>
        </w:numPr>
      </w:pPr>
      <w:r w:rsidRPr="00742DE3">
        <w:rPr>
          <w:bCs/>
        </w:rPr>
        <w:t>Achromato</w:t>
      </w:r>
      <w:r>
        <w:rPr>
          <w:bCs/>
        </w:rPr>
        <w:t>p</w:t>
      </w:r>
      <w:r w:rsidRPr="00742DE3">
        <w:rPr>
          <w:bCs/>
        </w:rPr>
        <w:t xml:space="preserve">sia </w:t>
      </w:r>
      <w:r w:rsidRPr="00742DE3">
        <w:t>is a con</w:t>
      </w:r>
      <w:r>
        <w:t>dition characteris</w:t>
      </w:r>
      <w:r w:rsidRPr="00742DE3">
        <w:t>ed by a partial or total absence of colo</w:t>
      </w:r>
      <w:r>
        <w:t>u</w:t>
      </w:r>
      <w:r w:rsidR="004306CB">
        <w:t>r vision</w:t>
      </w:r>
    </w:p>
    <w:p w:rsidR="004306CB" w:rsidRDefault="004306CB" w:rsidP="004306CB">
      <w:pPr>
        <w:pStyle w:val="ListParagraph"/>
        <w:numPr>
          <w:ilvl w:val="0"/>
          <w:numId w:val="1"/>
        </w:numPr>
      </w:pPr>
      <w:r w:rsidRPr="004306CB">
        <w:t>Achromatopsia is different from the more common forms of colo</w:t>
      </w:r>
      <w:r>
        <w:t>u</w:t>
      </w:r>
      <w:r w:rsidRPr="004306CB">
        <w:t>r vision deficiency (also called colo</w:t>
      </w:r>
      <w:r>
        <w:t>u</w:t>
      </w:r>
      <w:r w:rsidRPr="004306CB">
        <w:t>r blindness</w:t>
      </w:r>
      <w:r w:rsidR="009B3524">
        <w:t xml:space="preserve"> and colour confusion</w:t>
      </w:r>
      <w:r w:rsidRPr="004306CB">
        <w:t xml:space="preserve">), in which people can </w:t>
      </w:r>
      <w:r w:rsidR="00D23153">
        <w:t>see</w:t>
      </w:r>
      <w:r w:rsidRPr="004306CB">
        <w:t xml:space="preserve"> colo</w:t>
      </w:r>
      <w:r>
        <w:t>u</w:t>
      </w:r>
      <w:r w:rsidRPr="004306CB">
        <w:t>r</w:t>
      </w:r>
      <w:r w:rsidR="00EF2445">
        <w:t xml:space="preserve">, </w:t>
      </w:r>
      <w:r w:rsidRPr="004306CB">
        <w:t>but have difficulty distinguishing between certain colo</w:t>
      </w:r>
      <w:r>
        <w:t>u</w:t>
      </w:r>
      <w:r w:rsidR="00D23153">
        <w:t>rs, such as red and green</w:t>
      </w:r>
    </w:p>
    <w:p w:rsidR="004306CB" w:rsidRPr="004306CB" w:rsidRDefault="004306CB" w:rsidP="004306CB">
      <w:pPr>
        <w:pStyle w:val="ListParagraph"/>
        <w:numPr>
          <w:ilvl w:val="0"/>
          <w:numId w:val="1"/>
        </w:numPr>
      </w:pPr>
      <w:r w:rsidRPr="004306CB">
        <w:rPr>
          <w:color w:val="202124"/>
          <w:shd w:val="clear" w:color="auto" w:fill="FFFFFF"/>
        </w:rPr>
        <w:t xml:space="preserve">People with complete achromatopsia cannot </w:t>
      </w:r>
      <w:r w:rsidR="00D23153">
        <w:rPr>
          <w:color w:val="202124"/>
          <w:shd w:val="clear" w:color="auto" w:fill="FFFFFF"/>
        </w:rPr>
        <w:t>see</w:t>
      </w:r>
      <w:r w:rsidRPr="004306CB">
        <w:rPr>
          <w:color w:val="202124"/>
          <w:shd w:val="clear" w:color="auto" w:fill="FFFFFF"/>
        </w:rPr>
        <w:t xml:space="preserve"> any colours; they see only</w:t>
      </w:r>
      <w:r>
        <w:rPr>
          <w:color w:val="202124"/>
          <w:shd w:val="clear" w:color="auto" w:fill="FFFFFF"/>
        </w:rPr>
        <w:t xml:space="preserve"> black, white, and shades of grey</w:t>
      </w:r>
    </w:p>
    <w:p w:rsidR="004306CB" w:rsidRPr="00742DE3" w:rsidRDefault="004306CB" w:rsidP="004306CB">
      <w:pPr>
        <w:pStyle w:val="ListParagraph"/>
        <w:numPr>
          <w:ilvl w:val="0"/>
          <w:numId w:val="1"/>
        </w:numPr>
      </w:pPr>
      <w:r w:rsidRPr="004306CB">
        <w:rPr>
          <w:color w:val="202124"/>
          <w:shd w:val="clear" w:color="auto" w:fill="FFFFFF"/>
        </w:rPr>
        <w:t>Incomplete</w:t>
      </w:r>
      <w:r>
        <w:rPr>
          <w:color w:val="202124"/>
          <w:shd w:val="clear" w:color="auto" w:fill="FFFFFF"/>
        </w:rPr>
        <w:t xml:space="preserve"> achromatopsia </w:t>
      </w:r>
      <w:r w:rsidRPr="004306CB">
        <w:rPr>
          <w:color w:val="202124"/>
          <w:shd w:val="clear" w:color="auto" w:fill="FFFFFF"/>
        </w:rPr>
        <w:t>is a milder form of the condition that allows some colo</w:t>
      </w:r>
      <w:r>
        <w:rPr>
          <w:color w:val="202124"/>
          <w:shd w:val="clear" w:color="auto" w:fill="FFFFFF"/>
        </w:rPr>
        <w:t>u</w:t>
      </w:r>
      <w:r w:rsidRPr="004306CB">
        <w:rPr>
          <w:color w:val="202124"/>
          <w:shd w:val="clear" w:color="auto" w:fill="FFFFFF"/>
        </w:rPr>
        <w:t>r discrimination</w:t>
      </w:r>
    </w:p>
    <w:p w:rsidR="00250870" w:rsidRPr="00D23153" w:rsidRDefault="004306CB" w:rsidP="004306CB">
      <w:pPr>
        <w:pStyle w:val="ListParagraph"/>
        <w:numPr>
          <w:ilvl w:val="0"/>
          <w:numId w:val="1"/>
        </w:numPr>
      </w:pPr>
      <w:r w:rsidRPr="004306CB">
        <w:rPr>
          <w:bCs/>
        </w:rPr>
        <w:t>The condition is sta</w:t>
      </w:r>
      <w:r w:rsidR="00FA6A67">
        <w:rPr>
          <w:bCs/>
        </w:rPr>
        <w:t>ble</w:t>
      </w:r>
      <w:r w:rsidR="00087F2F">
        <w:rPr>
          <w:bCs/>
        </w:rPr>
        <w:t>,</w:t>
      </w:r>
      <w:r w:rsidRPr="004306CB">
        <w:rPr>
          <w:bCs/>
        </w:rPr>
        <w:t xml:space="preserve"> which means it does not get any worse as the child grows up</w:t>
      </w:r>
    </w:p>
    <w:p w:rsidR="00D23153" w:rsidRPr="004306CB" w:rsidRDefault="00D23153" w:rsidP="00AA2198">
      <w:pPr>
        <w:pStyle w:val="ListParagraph"/>
        <w:numPr>
          <w:ilvl w:val="0"/>
          <w:numId w:val="1"/>
        </w:numPr>
      </w:pPr>
      <w:r>
        <w:t xml:space="preserve">Other names for </w:t>
      </w:r>
      <w:r w:rsidR="002A5CBC">
        <w:t>achromatopsia</w:t>
      </w:r>
      <w:r>
        <w:t xml:space="preserve"> are</w:t>
      </w:r>
      <w:r w:rsidR="002A5CBC">
        <w:t>:</w:t>
      </w:r>
      <w:r>
        <w:t xml:space="preserve"> </w:t>
      </w:r>
      <w:r w:rsidR="0044734F" w:rsidRPr="00D23153">
        <w:t>achromatism</w:t>
      </w:r>
      <w:r w:rsidR="0044734F">
        <w:t>, rod</w:t>
      </w:r>
      <w:r w:rsidRPr="00D23153">
        <w:t xml:space="preserve"> monochromatism</w:t>
      </w:r>
      <w:r>
        <w:t xml:space="preserve">, and </w:t>
      </w:r>
      <w:r w:rsidRPr="00D23153">
        <w:t>total colo</w:t>
      </w:r>
      <w:r>
        <w:t>u</w:t>
      </w:r>
      <w:r w:rsidRPr="00D23153">
        <w:t>r blindness</w:t>
      </w:r>
      <w:r>
        <w:t>.</w:t>
      </w:r>
    </w:p>
    <w:p w:rsidR="004306CB" w:rsidRDefault="004306CB" w:rsidP="004306CB"/>
    <w:p w:rsidR="004306CB" w:rsidRPr="004306CB" w:rsidRDefault="004306CB" w:rsidP="004306CB">
      <w:pPr>
        <w:keepNext/>
        <w:keepLines/>
        <w:spacing w:before="40" w:line="259" w:lineRule="auto"/>
        <w:outlineLvl w:val="3"/>
        <w:rPr>
          <w:rFonts w:eastAsiaTheme="majorEastAsia" w:cstheme="majorBidi"/>
          <w:b/>
          <w:iCs/>
          <w:color w:val="000000" w:themeColor="text1"/>
          <w:sz w:val="32"/>
        </w:rPr>
      </w:pPr>
      <w:r w:rsidRPr="004306CB">
        <w:rPr>
          <w:rFonts w:eastAsiaTheme="majorEastAsia" w:cstheme="majorBidi"/>
          <w:b/>
          <w:iCs/>
          <w:color w:val="000000" w:themeColor="text1"/>
          <w:sz w:val="32"/>
        </w:rPr>
        <w:t xml:space="preserve">What are the effects of </w:t>
      </w:r>
      <w:r w:rsidRPr="004306CB">
        <w:rPr>
          <w:rFonts w:eastAsiaTheme="majorEastAsia" w:cstheme="majorBidi"/>
          <w:b/>
          <w:bCs/>
          <w:sz w:val="32"/>
        </w:rPr>
        <w:t>achromatopsia?</w:t>
      </w:r>
    </w:p>
    <w:p w:rsidR="004306CB" w:rsidRPr="004306CB" w:rsidRDefault="004306CB" w:rsidP="004306CB">
      <w:pPr>
        <w:pStyle w:val="ListParagraph"/>
        <w:numPr>
          <w:ilvl w:val="0"/>
          <w:numId w:val="3"/>
        </w:numPr>
      </w:pPr>
      <w:r>
        <w:t>S</w:t>
      </w:r>
      <w:r w:rsidRPr="004306CB">
        <w:t xml:space="preserve">ignificantly reduced </w:t>
      </w:r>
      <w:r w:rsidR="00AE668A">
        <w:t>clarity</w:t>
      </w:r>
      <w:r>
        <w:t xml:space="preserve"> of vision (low visual acuity)</w:t>
      </w:r>
    </w:p>
    <w:p w:rsidR="00D23153" w:rsidRPr="00D23153" w:rsidRDefault="00D23153" w:rsidP="00D23153">
      <w:pPr>
        <w:numPr>
          <w:ilvl w:val="0"/>
          <w:numId w:val="2"/>
        </w:numPr>
        <w:spacing w:line="252" w:lineRule="auto"/>
        <w:contextualSpacing/>
        <w:rPr>
          <w:rFonts w:cs="Arial"/>
          <w:szCs w:val="28"/>
        </w:rPr>
      </w:pPr>
      <w:r>
        <w:rPr>
          <w:rFonts w:cs="Arial"/>
          <w:szCs w:val="28"/>
        </w:rPr>
        <w:t>Nystagmus (wobbly eyes)</w:t>
      </w:r>
      <w:r w:rsidR="00112A6D">
        <w:rPr>
          <w:rFonts w:cs="Arial"/>
          <w:szCs w:val="28"/>
        </w:rPr>
        <w:t xml:space="preserve">. </w:t>
      </w:r>
      <w:r w:rsidRPr="004306CB">
        <w:rPr>
          <w:rFonts w:cs="Arial"/>
          <w:szCs w:val="28"/>
        </w:rPr>
        <w:t>For more information on nystagmus please read the Nystagm</w:t>
      </w:r>
      <w:r>
        <w:rPr>
          <w:rFonts w:cs="Arial"/>
          <w:szCs w:val="28"/>
        </w:rPr>
        <w:t>us advice sheet on our website</w:t>
      </w:r>
    </w:p>
    <w:p w:rsidR="004306CB" w:rsidRPr="00772A8A" w:rsidRDefault="00D23153" w:rsidP="00D23153">
      <w:pPr>
        <w:numPr>
          <w:ilvl w:val="0"/>
          <w:numId w:val="2"/>
        </w:numPr>
        <w:spacing w:line="252" w:lineRule="auto"/>
        <w:contextualSpacing/>
      </w:pPr>
      <w:hyperlink r:id="rId9" w:history="1">
        <w:r w:rsidRPr="00D23153">
          <w:rPr>
            <w:rFonts w:cs="Arial"/>
            <w:color w:val="0563C1" w:themeColor="hyperlink"/>
            <w:szCs w:val="28"/>
            <w:u w:val="single"/>
          </w:rPr>
          <w:t>P</w:t>
        </w:r>
        <w:r w:rsidR="004306CB" w:rsidRPr="00D23153">
          <w:rPr>
            <w:rFonts w:cs="Arial"/>
            <w:color w:val="0563C1" w:themeColor="hyperlink"/>
            <w:szCs w:val="28"/>
            <w:u w:val="single"/>
          </w:rPr>
          <w:t>hotophobia</w:t>
        </w:r>
      </w:hyperlink>
      <w:r>
        <w:rPr>
          <w:rFonts w:cs="Arial"/>
          <w:szCs w:val="28"/>
        </w:rPr>
        <w:t xml:space="preserve"> (light sensitivity)</w:t>
      </w:r>
    </w:p>
    <w:p w:rsidR="00772A8A" w:rsidRPr="00D23153" w:rsidRDefault="00772A8A" w:rsidP="00D23153">
      <w:pPr>
        <w:numPr>
          <w:ilvl w:val="0"/>
          <w:numId w:val="2"/>
        </w:numPr>
        <w:spacing w:line="252" w:lineRule="auto"/>
        <w:contextualSpacing/>
      </w:pPr>
      <w:r>
        <w:rPr>
          <w:rFonts w:cs="Arial"/>
          <w:szCs w:val="28"/>
        </w:rPr>
        <w:t xml:space="preserve">Hemeralopia which </w:t>
      </w:r>
      <w:r w:rsidR="0044734F">
        <w:rPr>
          <w:rFonts w:cs="Arial"/>
          <w:szCs w:val="28"/>
        </w:rPr>
        <w:t xml:space="preserve">is </w:t>
      </w:r>
      <w:r w:rsidR="0044734F">
        <w:rPr>
          <w:rFonts w:cs="Arial"/>
          <w:color w:val="202124"/>
          <w:shd w:val="clear" w:color="auto" w:fill="FFFFFF"/>
        </w:rPr>
        <w:t>‘</w:t>
      </w:r>
      <w:r>
        <w:rPr>
          <w:rFonts w:cs="Arial"/>
          <w:color w:val="202124"/>
          <w:shd w:val="clear" w:color="auto" w:fill="FFFFFF"/>
        </w:rPr>
        <w:t>day blindness’ or the inability to see clearly in bright light</w:t>
      </w:r>
    </w:p>
    <w:p w:rsidR="00D23153" w:rsidRDefault="00ED7D25" w:rsidP="00D23153">
      <w:pPr>
        <w:numPr>
          <w:ilvl w:val="0"/>
          <w:numId w:val="2"/>
        </w:numPr>
        <w:spacing w:line="252" w:lineRule="auto"/>
        <w:contextualSpacing/>
      </w:pPr>
      <w:r>
        <w:t xml:space="preserve">Refractive Errors: </w:t>
      </w:r>
      <w:r w:rsidR="00772A8A">
        <w:t>H</w:t>
      </w:r>
      <w:r w:rsidR="00D23153">
        <w:t>yperopia</w:t>
      </w:r>
      <w:r w:rsidR="00112A6D" w:rsidRPr="00EA1388">
        <w:t>/hypermetropia</w:t>
      </w:r>
      <w:r w:rsidR="00D23153">
        <w:t xml:space="preserve"> (long</w:t>
      </w:r>
      <w:r w:rsidR="00D23153" w:rsidRPr="00D23153">
        <w:t>sightedness)</w:t>
      </w:r>
      <w:r w:rsidR="00772A8A">
        <w:t xml:space="preserve"> or high myopia (severe short sightedness</w:t>
      </w:r>
      <w:r w:rsidR="00112A6D">
        <w:t xml:space="preserve"> </w:t>
      </w:r>
      <w:r w:rsidR="00112A6D" w:rsidRPr="00EA1388">
        <w:t xml:space="preserve">or </w:t>
      </w:r>
      <w:r w:rsidR="00EA1388" w:rsidRPr="00EA1388">
        <w:t>near-sightedness</w:t>
      </w:r>
      <w:r w:rsidR="00772A8A">
        <w:t>) – glasses are prescribed to correct the refractive error</w:t>
      </w:r>
    </w:p>
    <w:p w:rsidR="00D23153" w:rsidRDefault="00D23153" w:rsidP="00D23153">
      <w:pPr>
        <w:spacing w:line="252" w:lineRule="auto"/>
        <w:contextualSpacing/>
      </w:pPr>
    </w:p>
    <w:p w:rsidR="00D23153" w:rsidRPr="007E7762" w:rsidRDefault="00D23153" w:rsidP="007E7762">
      <w:pPr>
        <w:keepNext/>
        <w:keepLines/>
        <w:spacing w:before="40" w:line="259" w:lineRule="auto"/>
        <w:outlineLvl w:val="4"/>
        <w:rPr>
          <w:rFonts w:eastAsiaTheme="majorEastAsia" w:cstheme="majorBidi"/>
          <w:b/>
          <w:sz w:val="32"/>
        </w:rPr>
      </w:pPr>
      <w:r w:rsidRPr="00D23153">
        <w:rPr>
          <w:rFonts w:eastAsiaTheme="majorEastAsia" w:cstheme="majorBidi"/>
          <w:b/>
          <w:sz w:val="32"/>
        </w:rPr>
        <w:t xml:space="preserve">What can help? </w:t>
      </w:r>
    </w:p>
    <w:p w:rsidR="004306CB" w:rsidRPr="004306CB" w:rsidRDefault="004306CB" w:rsidP="00D23153">
      <w:pPr>
        <w:numPr>
          <w:ilvl w:val="0"/>
          <w:numId w:val="4"/>
        </w:numPr>
        <w:spacing w:line="240" w:lineRule="auto"/>
      </w:pPr>
      <w:r w:rsidRPr="004306CB">
        <w:t>Wear glasses if prescribed</w:t>
      </w:r>
      <w:r w:rsidR="00982494">
        <w:t>,</w:t>
      </w:r>
      <w:r w:rsidRPr="004306CB">
        <w:t xml:space="preserve"> and keep them clean</w:t>
      </w:r>
    </w:p>
    <w:p w:rsidR="00A40F4F" w:rsidRPr="004306CB" w:rsidRDefault="004306CB" w:rsidP="00D23153">
      <w:pPr>
        <w:numPr>
          <w:ilvl w:val="0"/>
          <w:numId w:val="4"/>
        </w:numPr>
        <w:spacing w:line="240" w:lineRule="auto"/>
      </w:pPr>
      <w:r w:rsidRPr="004306CB">
        <w:t>Wear a peaked cap and/or dark glasses to help control glare</w:t>
      </w:r>
      <w:r w:rsidR="00982494">
        <w:t>,</w:t>
      </w:r>
      <w:r w:rsidR="00453ECF">
        <w:t xml:space="preserve"> some children wear their glasses and cap inside</w:t>
      </w:r>
    </w:p>
    <w:p w:rsidR="004306CB" w:rsidRPr="004306CB" w:rsidRDefault="004306CB" w:rsidP="00D23153">
      <w:pPr>
        <w:numPr>
          <w:ilvl w:val="0"/>
          <w:numId w:val="4"/>
        </w:numPr>
        <w:spacing w:line="240" w:lineRule="auto"/>
      </w:pPr>
      <w:r w:rsidRPr="004306CB">
        <w:t xml:space="preserve">Ensure correct positioning i.e. close to the activity or item being looked at and with </w:t>
      </w:r>
      <w:r w:rsidR="00453ECF">
        <w:t xml:space="preserve">the </w:t>
      </w:r>
      <w:r w:rsidRPr="004306CB">
        <w:t>light source behind</w:t>
      </w:r>
    </w:p>
    <w:p w:rsidR="004306CB" w:rsidRDefault="004306CB" w:rsidP="00D23153">
      <w:pPr>
        <w:numPr>
          <w:ilvl w:val="0"/>
          <w:numId w:val="4"/>
        </w:numPr>
        <w:spacing w:line="240" w:lineRule="auto"/>
      </w:pPr>
      <w:r w:rsidRPr="004306CB">
        <w:t>Use blinds</w:t>
      </w:r>
      <w:r w:rsidR="00453ECF">
        <w:t>/curtains</w:t>
      </w:r>
      <w:r w:rsidRPr="004306CB">
        <w:t xml:space="preserve"> to control sunlight and glare</w:t>
      </w:r>
      <w:r w:rsidR="00453ECF">
        <w:t>,</w:t>
      </w:r>
      <w:r w:rsidRPr="004306CB">
        <w:t xml:space="preserve"> and teachers should avoid standing in front of windows when speaking to class</w:t>
      </w:r>
    </w:p>
    <w:p w:rsidR="007E7762" w:rsidRPr="004306CB" w:rsidRDefault="007E7762" w:rsidP="00D23153">
      <w:pPr>
        <w:numPr>
          <w:ilvl w:val="0"/>
          <w:numId w:val="4"/>
        </w:numPr>
        <w:spacing w:line="240" w:lineRule="auto"/>
      </w:pPr>
      <w:r>
        <w:rPr>
          <w:bCs/>
        </w:rPr>
        <w:t xml:space="preserve">Take account of the </w:t>
      </w:r>
      <w:r w:rsidRPr="001F66AC">
        <w:rPr>
          <w:bCs/>
        </w:rPr>
        <w:t>difficulties with recognising and identifying colours</w:t>
      </w:r>
      <w:r>
        <w:rPr>
          <w:bCs/>
        </w:rPr>
        <w:t xml:space="preserve"> and provide an alternative means of identifying colour e.g. labelling</w:t>
      </w:r>
      <w:r w:rsidR="0073152B">
        <w:rPr>
          <w:bCs/>
        </w:rPr>
        <w:t xml:space="preserve">, </w:t>
      </w:r>
      <w:r>
        <w:rPr>
          <w:bCs/>
        </w:rPr>
        <w:t>shading. It can be helpful to photocopy a worksheet or textbook page into black and white and check whether you can complete the tasks without access to colour</w:t>
      </w:r>
      <w:r w:rsidR="0073152B">
        <w:rPr>
          <w:bCs/>
        </w:rPr>
        <w:t>,</w:t>
      </w:r>
      <w:r>
        <w:rPr>
          <w:bCs/>
        </w:rPr>
        <w:t xml:space="preserve"> or</w:t>
      </w:r>
      <w:r w:rsidR="0073152B">
        <w:rPr>
          <w:bCs/>
        </w:rPr>
        <w:t xml:space="preserve"> the</w:t>
      </w:r>
      <w:r>
        <w:rPr>
          <w:bCs/>
        </w:rPr>
        <w:t xml:space="preserve"> need to add a secondary means of identifying the colour areas/objects</w:t>
      </w:r>
    </w:p>
    <w:p w:rsidR="004306CB" w:rsidRPr="004306CB" w:rsidRDefault="004306CB" w:rsidP="00D23153">
      <w:pPr>
        <w:numPr>
          <w:ilvl w:val="0"/>
          <w:numId w:val="4"/>
        </w:numPr>
        <w:spacing w:line="240" w:lineRule="auto"/>
      </w:pPr>
      <w:r w:rsidRPr="004306CB">
        <w:t>Worksheets and photocopies should be clear</w:t>
      </w:r>
      <w:r w:rsidR="00867312">
        <w:t>,</w:t>
      </w:r>
      <w:r w:rsidRPr="004306CB">
        <w:t xml:space="preserve"> with </w:t>
      </w:r>
      <w:r w:rsidR="00867312">
        <w:t>high</w:t>
      </w:r>
      <w:r w:rsidRPr="004306CB">
        <w:t xml:space="preserve"> contrast between print and paper</w:t>
      </w:r>
    </w:p>
    <w:p w:rsidR="004306CB" w:rsidRPr="004306CB" w:rsidRDefault="004306CB" w:rsidP="00D23153">
      <w:pPr>
        <w:numPr>
          <w:ilvl w:val="0"/>
          <w:numId w:val="4"/>
        </w:numPr>
        <w:spacing w:line="240" w:lineRule="auto"/>
      </w:pPr>
      <w:r w:rsidRPr="004306CB">
        <w:t xml:space="preserve">Write using a 2B pencil, a black felt tip pen or black biro to provide </w:t>
      </w:r>
      <w:r w:rsidR="00867312">
        <w:t>high</w:t>
      </w:r>
      <w:r w:rsidRPr="004306CB">
        <w:t xml:space="preserve"> contrast</w:t>
      </w:r>
    </w:p>
    <w:p w:rsidR="00D23153" w:rsidRPr="00275DCE" w:rsidRDefault="004306CB" w:rsidP="006B267D">
      <w:pPr>
        <w:numPr>
          <w:ilvl w:val="0"/>
          <w:numId w:val="4"/>
        </w:numPr>
        <w:spacing w:line="240" w:lineRule="auto"/>
      </w:pPr>
      <w:r w:rsidRPr="004306CB">
        <w:t>Use good quality black or dark blue markers on whiteboards. Avoid using green</w:t>
      </w:r>
      <w:r w:rsidR="008C3DC1">
        <w:t>, r</w:t>
      </w:r>
      <w:r w:rsidRPr="004306CB">
        <w:t>ed</w:t>
      </w:r>
      <w:r w:rsidR="00867312">
        <w:t>,</w:t>
      </w:r>
      <w:r w:rsidRPr="004306CB">
        <w:t xml:space="preserve"> or other light colours </w:t>
      </w:r>
      <w:r w:rsidR="008C3DC1">
        <w:t>because</w:t>
      </w:r>
      <w:r w:rsidRPr="004306CB">
        <w:t xml:space="preserve"> many in a class </w:t>
      </w:r>
      <w:r w:rsidR="008C3DC1">
        <w:t xml:space="preserve">may </w:t>
      </w:r>
      <w:r w:rsidRPr="004306CB">
        <w:t>have difficulty seeing these</w:t>
      </w:r>
      <w:r w:rsidR="00D23153">
        <w:t>.</w:t>
      </w:r>
    </w:p>
    <w:p w:rsidR="006B267D" w:rsidRDefault="006B267D" w:rsidP="00D23153">
      <w:pPr>
        <w:pStyle w:val="ListParagraph"/>
        <w:ind w:left="360"/>
      </w:pPr>
    </w:p>
    <w:p w:rsidR="00D23153" w:rsidRDefault="00DB1F34" w:rsidP="00D23153">
      <w:pPr>
        <w:pStyle w:val="ListParagraph"/>
        <w:ind w:left="360"/>
      </w:pPr>
      <w:r>
        <w:t>When a child is referred to The Sensory Service, a</w:t>
      </w:r>
      <w:r w:rsidR="00D23153" w:rsidRPr="00275DCE">
        <w:t xml:space="preserve"> Qualified Teacher of the Vision Impaired (QTVI) will assess the</w:t>
      </w:r>
      <w:r>
        <w:t>ir</w:t>
      </w:r>
      <w:r w:rsidR="00D23153" w:rsidRPr="00275DCE">
        <w:t xml:space="preserve"> functional vision within the school </w:t>
      </w:r>
      <w:r w:rsidR="0078444F" w:rsidRPr="00275DCE">
        <w:t>environment</w:t>
      </w:r>
      <w:r w:rsidR="0078444F">
        <w:t xml:space="preserve"> and</w:t>
      </w:r>
      <w:r w:rsidR="00D23153" w:rsidRPr="00275DCE">
        <w:t xml:space="preserve"> provide advice to the school on strategies for curriculum access and independent learning.</w:t>
      </w:r>
    </w:p>
    <w:p w:rsidR="00D23153" w:rsidRPr="004306CB" w:rsidRDefault="00D23153" w:rsidP="00D23153">
      <w:pPr>
        <w:spacing w:line="240" w:lineRule="auto"/>
      </w:pPr>
    </w:p>
    <w:p w:rsidR="00E82D24" w:rsidRPr="00E82D24" w:rsidRDefault="00E82D24" w:rsidP="00E82D24">
      <w:pPr>
        <w:keepNext/>
        <w:keepLines/>
        <w:spacing w:before="40" w:line="259" w:lineRule="auto"/>
        <w:outlineLvl w:val="4"/>
        <w:rPr>
          <w:rFonts w:eastAsiaTheme="majorEastAsia" w:cstheme="majorBidi"/>
          <w:b/>
          <w:bCs/>
          <w:sz w:val="32"/>
        </w:rPr>
      </w:pPr>
      <w:r w:rsidRPr="00E82D24">
        <w:rPr>
          <w:rFonts w:eastAsiaTheme="majorEastAsia" w:cstheme="majorBidi"/>
          <w:b/>
          <w:bCs/>
          <w:sz w:val="32"/>
        </w:rPr>
        <w:t>Useful contacts</w:t>
      </w:r>
    </w:p>
    <w:p w:rsidR="00E82D24" w:rsidRPr="00E82D24" w:rsidRDefault="00E82D24" w:rsidP="00E82D24">
      <w:pPr>
        <w:keepNext/>
        <w:keepLines/>
        <w:spacing w:before="40" w:line="259" w:lineRule="auto"/>
        <w:outlineLvl w:val="4"/>
        <w:rPr>
          <w:rFonts w:eastAsiaTheme="majorEastAsia" w:cstheme="majorBidi"/>
          <w:b/>
          <w:sz w:val="32"/>
        </w:rPr>
      </w:pPr>
    </w:p>
    <w:p w:rsidR="00E82D24" w:rsidRPr="00296CCC" w:rsidRDefault="00E82D24" w:rsidP="00E82D24">
      <w:pPr>
        <w:spacing w:line="252" w:lineRule="auto"/>
        <w:contextualSpacing/>
        <w:rPr>
          <w:rFonts w:cs="Arial"/>
          <w:szCs w:val="28"/>
        </w:rPr>
      </w:pPr>
      <w:r w:rsidRPr="00296CCC">
        <w:rPr>
          <w:rFonts w:cs="Arial"/>
          <w:szCs w:val="28"/>
        </w:rPr>
        <w:t>EA Sensory Service</w:t>
      </w:r>
    </w:p>
    <w:p w:rsidR="00E82D24" w:rsidRPr="00E82D24" w:rsidRDefault="00E82D24" w:rsidP="00E82D24">
      <w:pPr>
        <w:spacing w:line="252" w:lineRule="auto"/>
        <w:contextualSpacing/>
        <w:rPr>
          <w:rFonts w:cs="Arial"/>
          <w:szCs w:val="28"/>
        </w:rPr>
      </w:pPr>
      <w:r w:rsidRPr="00E82D24">
        <w:rPr>
          <w:rFonts w:cs="Arial"/>
          <w:szCs w:val="28"/>
        </w:rPr>
        <w:t xml:space="preserve">Tel: </w:t>
      </w:r>
      <w:r w:rsidRPr="00296CCC">
        <w:rPr>
          <w:rFonts w:cs="Arial"/>
          <w:szCs w:val="28"/>
          <w14:ligatures w14:val="standardContextual"/>
        </w:rPr>
        <w:t>028 9031 7777- Select Option 2</w:t>
      </w:r>
    </w:p>
    <w:p w:rsidR="00E82D24" w:rsidRPr="00296CCC" w:rsidRDefault="00E82D24" w:rsidP="00E82D24">
      <w:pPr>
        <w:spacing w:line="252" w:lineRule="auto"/>
        <w:contextualSpacing/>
        <w:rPr>
          <w:rFonts w:cs="Arial"/>
          <w:szCs w:val="28"/>
        </w:rPr>
      </w:pPr>
      <w:r w:rsidRPr="00E82D24">
        <w:rPr>
          <w:rFonts w:cs="Arial"/>
          <w:szCs w:val="28"/>
        </w:rPr>
        <w:t>E</w:t>
      </w:r>
      <w:r w:rsidR="00296CCC">
        <w:rPr>
          <w:rFonts w:cs="Arial"/>
          <w:szCs w:val="28"/>
        </w:rPr>
        <w:t>mail</w:t>
      </w:r>
      <w:r w:rsidRPr="00E82D24">
        <w:rPr>
          <w:rFonts w:cs="Arial"/>
          <w:szCs w:val="28"/>
        </w:rPr>
        <w:t>:</w:t>
      </w:r>
      <w:r w:rsidRPr="00E82D24">
        <w:t xml:space="preserve"> </w:t>
      </w:r>
      <w:hyperlink r:id="rId10" w:history="1">
        <w:r w:rsidRPr="00296CCC">
          <w:rPr>
            <w:rFonts w:cs="Arial"/>
            <w:szCs w:val="28"/>
            <w:u w:val="single"/>
          </w:rPr>
          <w:t>sensoryservice@eani.org.uk</w:t>
        </w:r>
      </w:hyperlink>
    </w:p>
    <w:p w:rsidR="00E82D24" w:rsidRPr="00296CCC" w:rsidRDefault="00E82D24" w:rsidP="00E82D24">
      <w:pPr>
        <w:spacing w:line="252" w:lineRule="auto"/>
        <w:contextualSpacing/>
        <w:rPr>
          <w:rFonts w:cs="Arial"/>
          <w:szCs w:val="28"/>
        </w:rPr>
      </w:pPr>
      <w:r w:rsidRPr="00296CCC">
        <w:rPr>
          <w:rFonts w:cs="Arial"/>
          <w:szCs w:val="28"/>
        </w:rPr>
        <w:t>W</w:t>
      </w:r>
      <w:r w:rsidR="00296CCC">
        <w:rPr>
          <w:rFonts w:cs="Arial"/>
          <w:szCs w:val="28"/>
        </w:rPr>
        <w:t>ebsite</w:t>
      </w:r>
      <w:r w:rsidRPr="00296CCC">
        <w:rPr>
          <w:rFonts w:cs="Arial"/>
          <w:szCs w:val="28"/>
        </w:rPr>
        <w:t xml:space="preserve">: </w:t>
      </w:r>
      <w:hyperlink r:id="rId11" w:history="1">
        <w:r w:rsidRPr="00296CCC">
          <w:rPr>
            <w:rFonts w:cs="Arial"/>
            <w:szCs w:val="28"/>
            <w:u w:val="single"/>
            <w14:ligatures w14:val="standardContextual"/>
          </w:rPr>
          <w:t>Vision Impairment and Deafness | SEND Plan (eani.org.uk)</w:t>
        </w:r>
      </w:hyperlink>
    </w:p>
    <w:p w:rsidR="004306CB" w:rsidRDefault="004306CB" w:rsidP="00D23153">
      <w:pPr>
        <w:spacing w:line="240" w:lineRule="auto"/>
      </w:pPr>
    </w:p>
    <w:p w:rsidR="00FF30D5" w:rsidRDefault="00FF30D5" w:rsidP="00D23153">
      <w:pPr>
        <w:spacing w:line="240" w:lineRule="auto"/>
      </w:pPr>
      <w:r>
        <w:rPr>
          <w:noProof/>
        </w:rPr>
        <w:drawing>
          <wp:inline distT="0" distB="0" distL="0" distR="0" wp14:anchorId="6FC7B64E" wp14:editId="38402F42">
            <wp:extent cx="1250315" cy="723265"/>
            <wp:effectExtent l="0" t="0" r="6985" b="635"/>
            <wp:docPr id="1707581710" name="Picture 2" descr="Sensory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81710" name="Picture 2" descr="Sensory Service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EB2"/>
    <w:multiLevelType w:val="hybridMultilevel"/>
    <w:tmpl w:val="C480D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94B71"/>
    <w:multiLevelType w:val="multilevel"/>
    <w:tmpl w:val="DF9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231C5"/>
    <w:multiLevelType w:val="hybridMultilevel"/>
    <w:tmpl w:val="B2889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D23BE"/>
    <w:multiLevelType w:val="hybridMultilevel"/>
    <w:tmpl w:val="E3107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45A97"/>
    <w:multiLevelType w:val="hybridMultilevel"/>
    <w:tmpl w:val="41F49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8B4D8A"/>
    <w:multiLevelType w:val="hybridMultilevel"/>
    <w:tmpl w:val="8DA68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19870">
    <w:abstractNumId w:val="2"/>
  </w:num>
  <w:num w:numId="2" w16cid:durableId="1083794349">
    <w:abstractNumId w:val="3"/>
  </w:num>
  <w:num w:numId="3" w16cid:durableId="84762889">
    <w:abstractNumId w:val="0"/>
  </w:num>
  <w:num w:numId="4" w16cid:durableId="975837795">
    <w:abstractNumId w:val="4"/>
  </w:num>
  <w:num w:numId="5" w16cid:durableId="1280146144">
    <w:abstractNumId w:val="1"/>
  </w:num>
  <w:num w:numId="6" w16cid:durableId="459231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E3"/>
    <w:rsid w:val="0005536A"/>
    <w:rsid w:val="00087F2F"/>
    <w:rsid w:val="00112A6D"/>
    <w:rsid w:val="001A0201"/>
    <w:rsid w:val="00250870"/>
    <w:rsid w:val="002861A6"/>
    <w:rsid w:val="00291B7C"/>
    <w:rsid w:val="00296CCC"/>
    <w:rsid w:val="002A5CBC"/>
    <w:rsid w:val="00333356"/>
    <w:rsid w:val="00374EEF"/>
    <w:rsid w:val="00380ED9"/>
    <w:rsid w:val="0039196A"/>
    <w:rsid w:val="004306CB"/>
    <w:rsid w:val="0044734F"/>
    <w:rsid w:val="00453ECF"/>
    <w:rsid w:val="006258D9"/>
    <w:rsid w:val="006374A2"/>
    <w:rsid w:val="006B267D"/>
    <w:rsid w:val="00713CB1"/>
    <w:rsid w:val="0073152B"/>
    <w:rsid w:val="00734FFC"/>
    <w:rsid w:val="00742DE3"/>
    <w:rsid w:val="00772A8A"/>
    <w:rsid w:val="00772D60"/>
    <w:rsid w:val="0078444F"/>
    <w:rsid w:val="007A2814"/>
    <w:rsid w:val="007E7762"/>
    <w:rsid w:val="00867312"/>
    <w:rsid w:val="008926F1"/>
    <w:rsid w:val="008C3DC1"/>
    <w:rsid w:val="00982494"/>
    <w:rsid w:val="009B3524"/>
    <w:rsid w:val="00A11C20"/>
    <w:rsid w:val="00A40F4F"/>
    <w:rsid w:val="00AE668A"/>
    <w:rsid w:val="00B70F3D"/>
    <w:rsid w:val="00C36132"/>
    <w:rsid w:val="00D23153"/>
    <w:rsid w:val="00D5537C"/>
    <w:rsid w:val="00DB1F34"/>
    <w:rsid w:val="00E71AA0"/>
    <w:rsid w:val="00E82D24"/>
    <w:rsid w:val="00E90D6D"/>
    <w:rsid w:val="00EA1388"/>
    <w:rsid w:val="00ED7D25"/>
    <w:rsid w:val="00EF2445"/>
    <w:rsid w:val="00F46511"/>
    <w:rsid w:val="00FA6A67"/>
    <w:rsid w:val="00FE27BB"/>
    <w:rsid w:val="00FE31EC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BA79"/>
  <w15:chartTrackingRefBased/>
  <w15:docId w15:val="{F6173E26-29AF-4982-AB35-232F9E2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36A"/>
    <w:pPr>
      <w:keepNext/>
      <w:keepLines/>
      <w:spacing w:before="40" w:line="259" w:lineRule="auto"/>
      <w:outlineLvl w:val="2"/>
    </w:pPr>
    <w:rPr>
      <w:rFonts w:eastAsiaTheme="majorEastAsia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7762"/>
    <w:pPr>
      <w:keepNext/>
      <w:keepLines/>
      <w:spacing w:before="40" w:line="259" w:lineRule="auto"/>
      <w:outlineLvl w:val="3"/>
    </w:pPr>
    <w:rPr>
      <w:rFonts w:eastAsiaTheme="majorEastAsia" w:cstheme="majorBidi"/>
      <w:b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36A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7762"/>
    <w:rPr>
      <w:rFonts w:ascii="Arial" w:eastAsiaTheme="majorEastAsia" w:hAnsi="Arial" w:cstheme="majorBidi"/>
      <w:b/>
      <w:iCs/>
      <w:color w:val="000000" w:themeColor="text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30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C805.CFF872F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end.eani.org.uk/support-services/vision-impairment-and-deafne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nsoryservice@eani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nib.org.uk/eye-health/eye-conditions/light-sensi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068C-4DB1-4609-AAE5-6B3947FEE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Achromotopsia</dc:title>
  <dc:subject/>
  <dc:creator>Nicola Heatley</dc:creator>
  <cp:keywords>achromotopsia, EA Sensory Service VI, vision impairment</cp:keywords>
  <dc:description/>
  <cp:lastModifiedBy>Siobhan Rafferty</cp:lastModifiedBy>
  <cp:revision>1</cp:revision>
  <dcterms:created xsi:type="dcterms:W3CDTF">2026-05-22T10:09:00Z</dcterms:created>
  <dcterms:modified xsi:type="dcterms:W3CDTF">2026-05-22T10:09:00Z</dcterms:modified>
</cp:coreProperties>
</file>