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F0C" w:rsidRPr="007C6F0C" w:rsidRDefault="007C6F0C" w:rsidP="007C6F0C">
      <w:r>
        <w:rPr>
          <w:noProof/>
          <w:lang w:eastAsia="en-GB"/>
        </w:rPr>
        <w:drawing>
          <wp:inline distT="0" distB="0" distL="0" distR="0" wp14:anchorId="45828D7E" wp14:editId="27821B2F">
            <wp:extent cx="2037080" cy="557530"/>
            <wp:effectExtent l="0" t="0" r="1270" b="0"/>
            <wp:docPr id="1" name="Picture 1" descr="The Education Authority logo &#10;&#10;The logo has a tulip shape image in blue, green and yellow, with the letters EA and word Education Authority to right of the image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Education Authority logo &#10;&#10;The logo has a tulip shape image in blue, green and yellow, with the letters EA and word Education Authority to right of the image. 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034C">
        <w:t xml:space="preserve">                    </w:t>
      </w:r>
      <w:r w:rsidR="00CC034C">
        <w:rPr>
          <w:noProof/>
        </w:rPr>
        <w:drawing>
          <wp:inline distT="0" distB="0" distL="0" distR="0" wp14:anchorId="79C690D1" wp14:editId="6BE30F2C">
            <wp:extent cx="1250315" cy="723265"/>
            <wp:effectExtent l="0" t="0" r="6985" b="635"/>
            <wp:docPr id="1920994312" name="Picture 1" descr="Sensory Service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94312" name="Picture 1" descr="Sensory Service logo&#10;&#10;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0C" w:rsidRPr="007C6F0C" w:rsidRDefault="007C6F0C" w:rsidP="007C6F0C">
      <w:pPr>
        <w:pStyle w:val="Heading6"/>
      </w:pPr>
      <w:r w:rsidRPr="007C6F0C">
        <w:t xml:space="preserve"> EA Sens</w:t>
      </w:r>
      <w:r>
        <w:t>ory Service – Vision Impairment</w:t>
      </w:r>
    </w:p>
    <w:p w:rsidR="007C6F0C" w:rsidRDefault="007C6F0C" w:rsidP="007C6F0C">
      <w:pPr>
        <w:rPr>
          <w:b/>
          <w:bCs/>
        </w:rPr>
      </w:pPr>
    </w:p>
    <w:p w:rsidR="007C6F0C" w:rsidRDefault="007C6F0C" w:rsidP="007C6F0C">
      <w:pPr>
        <w:pStyle w:val="Heading3"/>
      </w:pPr>
      <w:r>
        <w:t>Albinism</w:t>
      </w:r>
    </w:p>
    <w:p w:rsidR="007C6F0C" w:rsidRPr="007C6F0C" w:rsidRDefault="007C6F0C" w:rsidP="007C6F0C"/>
    <w:p w:rsidR="007C6F0C" w:rsidRPr="007C6F0C" w:rsidRDefault="007C6F0C" w:rsidP="007C6F0C">
      <w:pPr>
        <w:pStyle w:val="Heading5"/>
      </w:pPr>
      <w:r>
        <w:rPr>
          <w:bCs/>
        </w:rPr>
        <w:t>What is albinism?</w:t>
      </w:r>
    </w:p>
    <w:p w:rsidR="007C6F0C" w:rsidRPr="007C6F0C" w:rsidRDefault="007C6F0C" w:rsidP="007C6F0C">
      <w:pPr>
        <w:pStyle w:val="ListParagraph"/>
        <w:numPr>
          <w:ilvl w:val="0"/>
          <w:numId w:val="1"/>
        </w:numPr>
        <w:spacing w:line="240" w:lineRule="auto"/>
        <w:ind w:left="357"/>
      </w:pPr>
      <w:r>
        <w:t>It is an inherited condition</w:t>
      </w:r>
    </w:p>
    <w:p w:rsidR="007C6F0C" w:rsidRPr="007C6F0C" w:rsidRDefault="007C6F0C" w:rsidP="007C6F0C">
      <w:pPr>
        <w:pStyle w:val="ListParagraph"/>
        <w:numPr>
          <w:ilvl w:val="0"/>
          <w:numId w:val="1"/>
        </w:numPr>
        <w:spacing w:line="240" w:lineRule="auto"/>
        <w:ind w:left="357"/>
      </w:pPr>
      <w:r w:rsidRPr="007C6F0C">
        <w:t xml:space="preserve">It </w:t>
      </w:r>
      <w:r w:rsidR="00EC0148">
        <w:t>is char</w:t>
      </w:r>
      <w:r w:rsidRPr="007C6F0C">
        <w:t>a</w:t>
      </w:r>
      <w:r w:rsidR="00EC0148">
        <w:t>cterised by</w:t>
      </w:r>
      <w:r w:rsidRPr="007C6F0C">
        <w:t xml:space="preserve"> lack of pig</w:t>
      </w:r>
      <w:r>
        <w:t>ment in the body</w:t>
      </w:r>
      <w:r w:rsidR="00EC0148">
        <w:t>,</w:t>
      </w:r>
      <w:r>
        <w:t xml:space="preserve"> called melanin</w:t>
      </w:r>
    </w:p>
    <w:p w:rsidR="007C6F0C" w:rsidRPr="007C6F0C" w:rsidRDefault="007C6F0C" w:rsidP="007C6F0C">
      <w:pPr>
        <w:pStyle w:val="ListParagraph"/>
        <w:numPr>
          <w:ilvl w:val="0"/>
          <w:numId w:val="1"/>
        </w:numPr>
        <w:spacing w:line="240" w:lineRule="auto"/>
        <w:ind w:left="357"/>
      </w:pPr>
      <w:r w:rsidRPr="007C6F0C">
        <w:t>The</w:t>
      </w:r>
      <w:r w:rsidR="009F70BC">
        <w:t>re are</w:t>
      </w:r>
      <w:r w:rsidRPr="007C6F0C">
        <w:t xml:space="preserve"> two main </w:t>
      </w:r>
      <w:r>
        <w:t>types of albinism:</w:t>
      </w:r>
    </w:p>
    <w:p w:rsidR="007C6F0C" w:rsidRPr="007C6F0C" w:rsidRDefault="007C6F0C" w:rsidP="007C6F0C">
      <w:pPr>
        <w:spacing w:line="240" w:lineRule="auto"/>
        <w:ind w:left="357"/>
      </w:pPr>
      <w:r w:rsidRPr="007C6F0C">
        <w:t xml:space="preserve">Oculocutaneous albinism (OCA) - </w:t>
      </w:r>
      <w:r>
        <w:t xml:space="preserve">affects the eyes, </w:t>
      </w:r>
      <w:r w:rsidR="00D438D4">
        <w:t>skin,</w:t>
      </w:r>
      <w:r>
        <w:t xml:space="preserve"> and hair</w:t>
      </w:r>
    </w:p>
    <w:p w:rsidR="007C6F0C" w:rsidRDefault="007C6F0C" w:rsidP="007C6F0C">
      <w:pPr>
        <w:spacing w:line="240" w:lineRule="auto"/>
        <w:ind w:left="357"/>
      </w:pPr>
      <w:r w:rsidRPr="007C6F0C">
        <w:t>Ocular al</w:t>
      </w:r>
      <w:r>
        <w:t xml:space="preserve">binism </w:t>
      </w:r>
      <w:r w:rsidR="009F70BC">
        <w:t>–</w:t>
      </w:r>
      <w:r>
        <w:t xml:space="preserve"> affects</w:t>
      </w:r>
      <w:r w:rsidR="009F70BC">
        <w:t xml:space="preserve"> </w:t>
      </w:r>
      <w:r>
        <w:t>the eyes</w:t>
      </w:r>
      <w:r w:rsidR="009F70BC">
        <w:t xml:space="preserve"> only</w:t>
      </w:r>
      <w:r>
        <w:t>.</w:t>
      </w:r>
    </w:p>
    <w:p w:rsidR="007C6F0C" w:rsidRPr="007C6F0C" w:rsidRDefault="007C6F0C" w:rsidP="007C6F0C">
      <w:pPr>
        <w:pStyle w:val="Heading5"/>
      </w:pPr>
    </w:p>
    <w:p w:rsidR="007C6F0C" w:rsidRDefault="007C6F0C" w:rsidP="007C6F0C">
      <w:pPr>
        <w:pStyle w:val="Heading5"/>
        <w:rPr>
          <w:bCs/>
        </w:rPr>
      </w:pPr>
      <w:r w:rsidRPr="007C6F0C">
        <w:rPr>
          <w:bCs/>
        </w:rPr>
        <w:t>Wh</w:t>
      </w:r>
      <w:r>
        <w:rPr>
          <w:bCs/>
        </w:rPr>
        <w:t>at are the effects of albinism?</w:t>
      </w:r>
    </w:p>
    <w:p w:rsidR="009F70BC" w:rsidRDefault="009F70BC" w:rsidP="009F70BC">
      <w:pPr>
        <w:pStyle w:val="ListParagraph"/>
        <w:numPr>
          <w:ilvl w:val="0"/>
          <w:numId w:val="3"/>
        </w:numPr>
      </w:pPr>
      <w:r>
        <w:t>Reduced Visual Acuity (or clarity of vision)</w:t>
      </w:r>
    </w:p>
    <w:p w:rsidR="00F606A6" w:rsidRDefault="00F606A6" w:rsidP="00F606A6">
      <w:pPr>
        <w:pStyle w:val="ListParagraph"/>
        <w:numPr>
          <w:ilvl w:val="0"/>
          <w:numId w:val="3"/>
        </w:numPr>
      </w:pPr>
      <w:r>
        <w:t>Photophobia or extreme sensitivity to light</w:t>
      </w:r>
    </w:p>
    <w:p w:rsidR="007C6F0C" w:rsidRDefault="009F70BC" w:rsidP="007C6F0C">
      <w:pPr>
        <w:pStyle w:val="ListParagraph"/>
        <w:numPr>
          <w:ilvl w:val="0"/>
          <w:numId w:val="3"/>
        </w:numPr>
      </w:pPr>
      <w:r>
        <w:t>Lack of pigmentation in the iris allows light to flood into the eye</w:t>
      </w:r>
    </w:p>
    <w:p w:rsidR="009F70BC" w:rsidRPr="007C6F0C" w:rsidRDefault="009F70BC" w:rsidP="009F70BC">
      <w:pPr>
        <w:pStyle w:val="ListParagraph"/>
        <w:numPr>
          <w:ilvl w:val="0"/>
          <w:numId w:val="3"/>
        </w:numPr>
      </w:pPr>
      <w:r>
        <w:t>Lack of pigmentation in the retina means that very little of the light entering the eye is absorbed. A crude explanation is that the light, instead of being absorbed, bounces around the inside of the eye, causing extreme discomfort and a further reduction in what can be seen.</w:t>
      </w:r>
    </w:p>
    <w:p w:rsidR="007C6F0C" w:rsidRPr="007C6F0C" w:rsidRDefault="007C6F0C" w:rsidP="007C6F0C">
      <w:pPr>
        <w:pStyle w:val="ListParagraph"/>
        <w:numPr>
          <w:ilvl w:val="0"/>
          <w:numId w:val="3"/>
        </w:numPr>
      </w:pPr>
      <w:r w:rsidRPr="007C6F0C">
        <w:t xml:space="preserve">Albinism is a stable </w:t>
      </w:r>
      <w:r w:rsidR="00D110FA" w:rsidRPr="007C6F0C">
        <w:t>condition,</w:t>
      </w:r>
      <w:r w:rsidRPr="007C6F0C">
        <w:t xml:space="preserve"> so the level of vi</w:t>
      </w:r>
      <w:r>
        <w:t>sion is unlikely to deteriorate</w:t>
      </w:r>
    </w:p>
    <w:p w:rsidR="00F606A6" w:rsidRDefault="007C6F0C" w:rsidP="00F606A6">
      <w:pPr>
        <w:pStyle w:val="ListParagraph"/>
        <w:numPr>
          <w:ilvl w:val="0"/>
          <w:numId w:val="3"/>
        </w:numPr>
      </w:pPr>
      <w:r w:rsidRPr="007C6F0C">
        <w:t xml:space="preserve">Nystagmus (wobbly eyes) </w:t>
      </w:r>
      <w:r w:rsidR="00F606A6">
        <w:t>is a separate condition that often appears alongside albinism.</w:t>
      </w:r>
    </w:p>
    <w:p w:rsidR="007C6F0C" w:rsidRPr="007C6F0C" w:rsidRDefault="007C6F0C" w:rsidP="00F606A6">
      <w:pPr>
        <w:pStyle w:val="ListParagraph"/>
        <w:numPr>
          <w:ilvl w:val="0"/>
          <w:numId w:val="3"/>
        </w:numPr>
      </w:pPr>
      <w:bookmarkStart w:id="0" w:name="_Hlk176262335"/>
      <w:r w:rsidRPr="007C6F0C">
        <w:t>For more information on nystagmus please read the Nystagm</w:t>
      </w:r>
      <w:r>
        <w:t>us advice sheet on our website.</w:t>
      </w:r>
    </w:p>
    <w:bookmarkEnd w:id="0"/>
    <w:p w:rsidR="007C6F0C" w:rsidRPr="007C6F0C" w:rsidRDefault="007C6F0C" w:rsidP="007C6F0C"/>
    <w:p w:rsidR="007C6F0C" w:rsidRPr="007C6F0C" w:rsidRDefault="007C6F0C" w:rsidP="007C6F0C">
      <w:pPr>
        <w:pStyle w:val="Heading5"/>
      </w:pPr>
      <w:r w:rsidRPr="007C6F0C">
        <w:t xml:space="preserve">What can help? </w:t>
      </w:r>
    </w:p>
    <w:p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>Wear glasses if</w:t>
      </w:r>
      <w:r>
        <w:t xml:space="preserve"> prescribed and keep them clean</w:t>
      </w:r>
    </w:p>
    <w:p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>Wear a peaked cap and/or dar</w:t>
      </w:r>
      <w:r>
        <w:t>k glasses to help control glare</w:t>
      </w:r>
    </w:p>
    <w:p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 xml:space="preserve">Children with OCA should use appropriate skin protection, </w:t>
      </w:r>
      <w:r w:rsidR="00D438D4" w:rsidRPr="007C6F0C">
        <w:t>sunscreen,</w:t>
      </w:r>
      <w:r w:rsidRPr="007C6F0C">
        <w:t xml:space="preserve"> and shaded a</w:t>
      </w:r>
      <w:r w:rsidR="00F32AB8">
        <w:t>reas particularly during summer</w:t>
      </w:r>
    </w:p>
    <w:p w:rsidR="007C6F0C" w:rsidRDefault="007C6F0C" w:rsidP="007C6F0C">
      <w:pPr>
        <w:pStyle w:val="ListParagraph"/>
        <w:numPr>
          <w:ilvl w:val="0"/>
          <w:numId w:val="4"/>
        </w:numPr>
      </w:pPr>
      <w:r w:rsidRPr="007C6F0C">
        <w:t xml:space="preserve">Ensure correct positioning i.e. close to the activity or item being looked </w:t>
      </w:r>
      <w:r>
        <w:t xml:space="preserve">at and with </w:t>
      </w:r>
      <w:r w:rsidR="004E6EF7">
        <w:t xml:space="preserve">the </w:t>
      </w:r>
      <w:r>
        <w:t>light source behind</w:t>
      </w:r>
    </w:p>
    <w:p w:rsidR="003E6DD5" w:rsidRPr="007C6F0C" w:rsidRDefault="003E6DD5" w:rsidP="003E6DD5">
      <w:pPr>
        <w:pStyle w:val="ListParagraph"/>
        <w:numPr>
          <w:ilvl w:val="0"/>
          <w:numId w:val="4"/>
        </w:numPr>
      </w:pPr>
      <w:r>
        <w:t xml:space="preserve">Position Student with </w:t>
      </w:r>
      <w:r w:rsidR="004E6EF7">
        <w:t xml:space="preserve">their </w:t>
      </w:r>
      <w:r>
        <w:t>back to the window</w:t>
      </w:r>
    </w:p>
    <w:p w:rsidR="007C6F0C" w:rsidRDefault="007C6F0C" w:rsidP="007C6F0C">
      <w:pPr>
        <w:pStyle w:val="ListParagraph"/>
        <w:numPr>
          <w:ilvl w:val="0"/>
          <w:numId w:val="4"/>
        </w:numPr>
      </w:pPr>
      <w:r w:rsidRPr="007C6F0C">
        <w:t>Use blinds to control sunlight and glare and teachers should avoid standing in front of</w:t>
      </w:r>
      <w:r>
        <w:t xml:space="preserve"> windows when speaking to class</w:t>
      </w:r>
    </w:p>
    <w:p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>Worksheets and photocopies should be clear with good c</w:t>
      </w:r>
      <w:r>
        <w:t>ontrast between print and paper</w:t>
      </w:r>
    </w:p>
    <w:p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>Write using a 2B pencil, a black felt tip pen</w:t>
      </w:r>
      <w:r w:rsidR="00011386">
        <w:t>,</w:t>
      </w:r>
      <w:r w:rsidRPr="007C6F0C">
        <w:t xml:space="preserve"> or blac</w:t>
      </w:r>
      <w:r>
        <w:t xml:space="preserve">k biro to provide </w:t>
      </w:r>
      <w:r w:rsidR="00011386">
        <w:t xml:space="preserve">high </w:t>
      </w:r>
      <w:r>
        <w:t>contrast</w:t>
      </w:r>
    </w:p>
    <w:p w:rsidR="007C6F0C" w:rsidRPr="007C6F0C" w:rsidRDefault="007C6F0C" w:rsidP="00916B1F">
      <w:pPr>
        <w:pStyle w:val="ListParagraph"/>
        <w:numPr>
          <w:ilvl w:val="0"/>
          <w:numId w:val="4"/>
        </w:numPr>
      </w:pPr>
      <w:r w:rsidRPr="00916B1F">
        <w:t>Use good quality black or dark blue markers on whiteboards. Avoid using green</w:t>
      </w:r>
      <w:r w:rsidR="00916B1F" w:rsidRPr="00916B1F">
        <w:t>,</w:t>
      </w:r>
      <w:r w:rsidRPr="00916B1F">
        <w:t xml:space="preserve"> </w:t>
      </w:r>
      <w:r w:rsidR="00D438D4" w:rsidRPr="00916B1F">
        <w:t>red,</w:t>
      </w:r>
      <w:r w:rsidRPr="00916B1F">
        <w:t xml:space="preserve"> or other light colours</w:t>
      </w:r>
      <w:r w:rsidR="00011386">
        <w:t>,</w:t>
      </w:r>
      <w:r w:rsidRPr="00916B1F">
        <w:t xml:space="preserve"> as many in a class will have difficulty seeing these</w:t>
      </w:r>
    </w:p>
    <w:p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>Write teacher comments in black pen large</w:t>
      </w:r>
      <w:r>
        <w:t xml:space="preserve"> enough for the student to read</w:t>
      </w:r>
    </w:p>
    <w:p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>Allow student to have the book at an angle and distance which is comfortable for them. Special stands for books and</w:t>
      </w:r>
      <w:r>
        <w:t xml:space="preserve"> sloping desktops are available</w:t>
      </w:r>
    </w:p>
    <w:p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>Students with vision impairment require their own copy of books and works</w:t>
      </w:r>
      <w:r>
        <w:t>heets. Do not ask them to share</w:t>
      </w:r>
    </w:p>
    <w:p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>Check with the specialist teacher (QTVI) about the most appropriate size of font for the pupil. Avoid books with poor</w:t>
      </w:r>
      <w:r>
        <w:t>ly produced print illustrations</w:t>
      </w:r>
    </w:p>
    <w:p w:rsidR="001A13E0" w:rsidRPr="001A13E0" w:rsidRDefault="001A13E0" w:rsidP="001A13E0">
      <w:pPr>
        <w:pStyle w:val="ListParagraph"/>
        <w:numPr>
          <w:ilvl w:val="0"/>
          <w:numId w:val="4"/>
        </w:numPr>
        <w:spacing w:line="240" w:lineRule="auto"/>
        <w:rPr>
          <w:sz w:val="32"/>
        </w:rPr>
      </w:pPr>
      <w:r>
        <w:t xml:space="preserve">When a child is referred to the Sensory Service, </w:t>
      </w:r>
      <w:r w:rsidR="003C4142">
        <w:t xml:space="preserve">a </w:t>
      </w:r>
      <w:r w:rsidRPr="00332C6F">
        <w:t>Qualified Teacher of the Vision Impaired (QTVI) will assess</w:t>
      </w:r>
      <w:r>
        <w:t xml:space="preserve"> their </w:t>
      </w:r>
      <w:r w:rsidRPr="00332C6F">
        <w:t>functional vision within the school environment</w:t>
      </w:r>
      <w:r>
        <w:t>,</w:t>
      </w:r>
      <w:r w:rsidRPr="00332C6F">
        <w:t xml:space="preserve"> and provide advice to the school </w:t>
      </w:r>
      <w:r w:rsidR="00273CB4">
        <w:t>regarding</w:t>
      </w:r>
      <w:r w:rsidRPr="00332C6F">
        <w:t xml:space="preserve"> strategies for curriculum access and independent learning</w:t>
      </w:r>
      <w:r w:rsidRPr="001A13E0">
        <w:rPr>
          <w:sz w:val="32"/>
        </w:rPr>
        <w:t xml:space="preserve"> </w:t>
      </w:r>
    </w:p>
    <w:p w:rsidR="007C6F0C" w:rsidRPr="007C6F0C" w:rsidRDefault="007C6F0C" w:rsidP="007C6F0C">
      <w:pPr>
        <w:pStyle w:val="Heading5"/>
      </w:pPr>
    </w:p>
    <w:p w:rsidR="007C6F0C" w:rsidRDefault="007C6F0C" w:rsidP="007C6F0C">
      <w:pPr>
        <w:pStyle w:val="Heading5"/>
        <w:rPr>
          <w:bCs/>
        </w:rPr>
      </w:pPr>
      <w:r w:rsidRPr="007C6F0C">
        <w:rPr>
          <w:bCs/>
        </w:rPr>
        <w:t>Useful contacts</w:t>
      </w:r>
    </w:p>
    <w:p w:rsidR="007C6F0C" w:rsidRPr="007C6F0C" w:rsidRDefault="007C6F0C" w:rsidP="007C6F0C">
      <w:pPr>
        <w:pStyle w:val="Heading5"/>
      </w:pPr>
    </w:p>
    <w:p w:rsidR="007C6F0C" w:rsidRPr="006C2E76" w:rsidRDefault="007C6F0C" w:rsidP="007C6F0C">
      <w:pPr>
        <w:pStyle w:val="ListParagraph"/>
        <w:ind w:left="0"/>
      </w:pPr>
      <w:r w:rsidRPr="006C2E76">
        <w:t>EA Sensory Service</w:t>
      </w:r>
    </w:p>
    <w:p w:rsidR="007C6F0C" w:rsidRPr="006C2E76" w:rsidRDefault="007C6F0C" w:rsidP="007C6F0C">
      <w:pPr>
        <w:pStyle w:val="ListParagraph"/>
        <w:ind w:left="0"/>
      </w:pPr>
      <w:r w:rsidRPr="001A13E0">
        <w:t>Tel</w:t>
      </w:r>
      <w:r w:rsidRPr="006C2E76">
        <w:t xml:space="preserve">: </w:t>
      </w:r>
      <w:r w:rsidR="001C5022" w:rsidRPr="006C2E76">
        <w:rPr>
          <w14:ligatures w14:val="standardContextual"/>
        </w:rPr>
        <w:t>028 9031 7777</w:t>
      </w:r>
      <w:r w:rsidR="0064288C" w:rsidRPr="006C2E76">
        <w:rPr>
          <w14:ligatures w14:val="standardContextual"/>
        </w:rPr>
        <w:t>- Select Option 2</w:t>
      </w:r>
    </w:p>
    <w:p w:rsidR="007C6F0C" w:rsidRPr="006C2E76" w:rsidRDefault="007C6F0C" w:rsidP="007C6F0C">
      <w:pPr>
        <w:pStyle w:val="ListParagraph"/>
        <w:ind w:left="0"/>
      </w:pPr>
      <w:r w:rsidRPr="006C2E76">
        <w:t>E</w:t>
      </w:r>
      <w:r w:rsidR="006C2E76">
        <w:t>mail</w:t>
      </w:r>
      <w:r w:rsidRPr="006C2E76">
        <w:t>:</w:t>
      </w:r>
      <w:r w:rsidRPr="006C2E76">
        <w:rPr>
          <w:rFonts w:cstheme="minorBidi"/>
          <w:szCs w:val="22"/>
        </w:rPr>
        <w:t xml:space="preserve"> </w:t>
      </w:r>
      <w:hyperlink r:id="rId8" w:history="1">
        <w:r w:rsidRPr="006C2E76">
          <w:rPr>
            <w:rStyle w:val="Hyperlink"/>
            <w:color w:val="auto"/>
          </w:rPr>
          <w:t>sensoryservice@eani.org.uk</w:t>
        </w:r>
      </w:hyperlink>
    </w:p>
    <w:p w:rsidR="004C029C" w:rsidRPr="006C2E76" w:rsidRDefault="00330338" w:rsidP="007C6F0C">
      <w:pPr>
        <w:pStyle w:val="ListParagraph"/>
        <w:ind w:left="0"/>
      </w:pPr>
      <w:r w:rsidRPr="006C2E76">
        <w:t>W</w:t>
      </w:r>
      <w:r w:rsidR="006C2E76">
        <w:t>ebsite</w:t>
      </w:r>
      <w:r w:rsidRPr="006C2E76">
        <w:t xml:space="preserve">: </w:t>
      </w:r>
      <w:hyperlink r:id="rId9" w:history="1">
        <w:r w:rsidR="004C029C" w:rsidRPr="006C2E76">
          <w:rPr>
            <w:rStyle w:val="Hyperlink"/>
            <w:color w:val="auto"/>
            <w14:ligatures w14:val="standardContextual"/>
          </w:rPr>
          <w:t>Vision Impairment and Deafness | SEND Plan (eani.org.uk)</w:t>
        </w:r>
      </w:hyperlink>
    </w:p>
    <w:p w:rsidR="007C6F0C" w:rsidRDefault="007C6F0C" w:rsidP="007C6F0C">
      <w:pPr>
        <w:pStyle w:val="ListParagraph"/>
        <w:ind w:left="0"/>
      </w:pPr>
    </w:p>
    <w:p w:rsidR="007C6F0C" w:rsidRPr="007C6F0C" w:rsidRDefault="007C6F0C" w:rsidP="007C6F0C">
      <w:pPr>
        <w:pStyle w:val="ListParagraph"/>
        <w:ind w:left="0"/>
      </w:pPr>
      <w:hyperlink r:id="rId10" w:history="1">
        <w:r w:rsidRPr="007C6F0C">
          <w:rPr>
            <w:rStyle w:val="Hyperlink"/>
          </w:rPr>
          <w:t>Albinism Fellowship UK and Ireland</w:t>
        </w:r>
      </w:hyperlink>
    </w:p>
    <w:p w:rsidR="00250870" w:rsidRDefault="007C6F0C" w:rsidP="007C6F0C">
      <w:pPr>
        <w:pStyle w:val="ListParagraph"/>
        <w:ind w:left="0"/>
      </w:pPr>
      <w:r w:rsidRPr="007C6F0C">
        <w:t xml:space="preserve">Tel: </w:t>
      </w:r>
      <w:r w:rsidRPr="008F1CE7">
        <w:rPr>
          <w:b/>
          <w:bCs/>
        </w:rPr>
        <w:t>+44 7946 45797</w:t>
      </w:r>
    </w:p>
    <w:p w:rsidR="00A20119" w:rsidRDefault="008F1CE7">
      <w:pPr>
        <w:pStyle w:val="ListParagraph"/>
        <w:ind w:left="0"/>
      </w:pPr>
      <w:r>
        <w:rPr>
          <w:noProof/>
        </w:rPr>
        <w:drawing>
          <wp:inline distT="0" distB="0" distL="0" distR="0" wp14:anchorId="4FBD645B" wp14:editId="34F52946">
            <wp:extent cx="1250315" cy="723265"/>
            <wp:effectExtent l="0" t="0" r="6985" b="635"/>
            <wp:docPr id="122179764" name="Picture 2" descr="Sensory Service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9764" name="Picture 2" descr="Sensory Service logo&#10;&#10;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119" w:rsidSect="007C6F0C">
      <w:pgSz w:w="11906" w:h="17338"/>
      <w:pgMar w:top="1440" w:right="1440" w:bottom="1440" w:left="1440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1A94"/>
    <w:multiLevelType w:val="hybridMultilevel"/>
    <w:tmpl w:val="E33C34A8"/>
    <w:lvl w:ilvl="0" w:tplc="054482D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3BE"/>
    <w:multiLevelType w:val="hybridMultilevel"/>
    <w:tmpl w:val="E3107D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845A97"/>
    <w:multiLevelType w:val="hybridMultilevel"/>
    <w:tmpl w:val="41F49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8B4D8A"/>
    <w:multiLevelType w:val="hybridMultilevel"/>
    <w:tmpl w:val="8DA68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A238AF"/>
    <w:multiLevelType w:val="hybridMultilevel"/>
    <w:tmpl w:val="914A5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0465103">
    <w:abstractNumId w:val="4"/>
  </w:num>
  <w:num w:numId="2" w16cid:durableId="429397572">
    <w:abstractNumId w:val="0"/>
  </w:num>
  <w:num w:numId="3" w16cid:durableId="192966981">
    <w:abstractNumId w:val="1"/>
  </w:num>
  <w:num w:numId="4" w16cid:durableId="1067531695">
    <w:abstractNumId w:val="3"/>
  </w:num>
  <w:num w:numId="5" w16cid:durableId="1345328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0C"/>
    <w:rsid w:val="00011386"/>
    <w:rsid w:val="0005536A"/>
    <w:rsid w:val="001A0201"/>
    <w:rsid w:val="001A13E0"/>
    <w:rsid w:val="001C5022"/>
    <w:rsid w:val="00250870"/>
    <w:rsid w:val="00272D4D"/>
    <w:rsid w:val="00273CB4"/>
    <w:rsid w:val="002861A6"/>
    <w:rsid w:val="00291B7C"/>
    <w:rsid w:val="00294BA5"/>
    <w:rsid w:val="00330338"/>
    <w:rsid w:val="00374EEF"/>
    <w:rsid w:val="00380ED9"/>
    <w:rsid w:val="0039196A"/>
    <w:rsid w:val="003C4142"/>
    <w:rsid w:val="003E6DD5"/>
    <w:rsid w:val="00476CAE"/>
    <w:rsid w:val="004C029C"/>
    <w:rsid w:val="004E6EF7"/>
    <w:rsid w:val="005F6819"/>
    <w:rsid w:val="006258D9"/>
    <w:rsid w:val="0064288C"/>
    <w:rsid w:val="00666402"/>
    <w:rsid w:val="006C2E76"/>
    <w:rsid w:val="00713CB1"/>
    <w:rsid w:val="00734FFC"/>
    <w:rsid w:val="00792B85"/>
    <w:rsid w:val="007A2814"/>
    <w:rsid w:val="007C6F0C"/>
    <w:rsid w:val="007F44FF"/>
    <w:rsid w:val="008F1CE7"/>
    <w:rsid w:val="00916B1F"/>
    <w:rsid w:val="00925AE1"/>
    <w:rsid w:val="009F70BC"/>
    <w:rsid w:val="00A11C20"/>
    <w:rsid w:val="00A20119"/>
    <w:rsid w:val="00A75017"/>
    <w:rsid w:val="00B326EB"/>
    <w:rsid w:val="00BE5A85"/>
    <w:rsid w:val="00C01C42"/>
    <w:rsid w:val="00C36132"/>
    <w:rsid w:val="00CA54E0"/>
    <w:rsid w:val="00CB67FD"/>
    <w:rsid w:val="00CC034C"/>
    <w:rsid w:val="00D110FA"/>
    <w:rsid w:val="00D438D4"/>
    <w:rsid w:val="00DE500E"/>
    <w:rsid w:val="00E520A7"/>
    <w:rsid w:val="00E90D6D"/>
    <w:rsid w:val="00EC0148"/>
    <w:rsid w:val="00F32AB8"/>
    <w:rsid w:val="00F606A6"/>
    <w:rsid w:val="00F90098"/>
    <w:rsid w:val="00F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43C2"/>
  <w15:chartTrackingRefBased/>
  <w15:docId w15:val="{8A351631-E8A2-41FF-8DF2-1D86BA11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D9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B7C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B7C"/>
    <w:pPr>
      <w:keepNext/>
      <w:keepLines/>
      <w:spacing w:before="40" w:line="259" w:lineRule="auto"/>
      <w:outlineLvl w:val="1"/>
    </w:pPr>
    <w:rPr>
      <w:rFonts w:eastAsiaTheme="majorEastAsia" w:cstheme="majorBidi"/>
      <w:color w:val="000000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B7C"/>
    <w:pPr>
      <w:keepNext/>
      <w:keepLines/>
      <w:spacing w:before="40" w:line="259" w:lineRule="auto"/>
      <w:outlineLvl w:val="2"/>
    </w:pPr>
    <w:rPr>
      <w:rFonts w:eastAsiaTheme="majorEastAsia" w:cstheme="majorBidi"/>
      <w:b/>
      <w:color w:val="000000" w:themeColor="text1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B7C"/>
    <w:pPr>
      <w:keepNext/>
      <w:keepLines/>
      <w:spacing w:before="40" w:line="259" w:lineRule="auto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536A"/>
    <w:pPr>
      <w:keepNext/>
      <w:keepLines/>
      <w:spacing w:before="40" w:line="259" w:lineRule="auto"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536A"/>
    <w:pPr>
      <w:keepNext/>
      <w:keepLines/>
      <w:spacing w:before="40" w:line="250" w:lineRule="auto"/>
      <w:ind w:left="365" w:hanging="365"/>
      <w:outlineLvl w:val="5"/>
    </w:pPr>
    <w:rPr>
      <w:rFonts w:eastAsiaTheme="majorEastAsia" w:cstheme="majorBidi"/>
      <w:color w:val="000000"/>
      <w:sz w:val="32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0ED9"/>
    <w:pPr>
      <w:keepNext/>
      <w:keepLines/>
      <w:spacing w:before="4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0ED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B7C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1B7C"/>
    <w:rPr>
      <w:rFonts w:ascii="Arial" w:eastAsiaTheme="majorEastAsia" w:hAnsi="Arial" w:cstheme="majorBidi"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B7C"/>
    <w:rPr>
      <w:rFonts w:ascii="Arial" w:eastAsiaTheme="majorEastAsia" w:hAnsi="Arial" w:cstheme="majorBidi"/>
      <w:b/>
      <w:color w:val="000000" w:themeColor="text1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1B7C"/>
    <w:rPr>
      <w:rFonts w:ascii="Arial" w:eastAsiaTheme="majorEastAsia" w:hAnsi="Arial" w:cstheme="majorBidi"/>
      <w:iCs/>
      <w:color w:val="000000" w:themeColor="text1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rsid w:val="0005536A"/>
    <w:rPr>
      <w:rFonts w:ascii="Arial" w:eastAsiaTheme="majorEastAsia" w:hAnsi="Arial" w:cstheme="majorBidi"/>
      <w:color w:val="000000"/>
      <w:sz w:val="3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80ED9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380ED9"/>
    <w:rPr>
      <w:rFonts w:ascii="Arial" w:eastAsiaTheme="majorEastAsia" w:hAnsi="Arial" w:cstheme="majorBidi"/>
      <w:color w:val="272727" w:themeColor="text1" w:themeTint="D8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5536A"/>
    <w:rPr>
      <w:rFonts w:ascii="Arial" w:eastAsiaTheme="majorEastAsia" w:hAnsi="Arial" w:cstheme="majorBidi"/>
      <w:b/>
      <w:sz w:val="32"/>
    </w:rPr>
  </w:style>
  <w:style w:type="paragraph" w:styleId="ListParagraph">
    <w:name w:val="List Paragraph"/>
    <w:basedOn w:val="Normal"/>
    <w:uiPriority w:val="34"/>
    <w:qFormat/>
    <w:rsid w:val="00380ED9"/>
    <w:pPr>
      <w:spacing w:line="252" w:lineRule="auto"/>
      <w:ind w:left="720"/>
      <w:contextualSpacing/>
    </w:pPr>
    <w:rPr>
      <w:rFonts w:cs="Arial"/>
      <w:szCs w:val="28"/>
    </w:rPr>
  </w:style>
  <w:style w:type="character" w:styleId="Hyperlink">
    <w:name w:val="Hyperlink"/>
    <w:basedOn w:val="DefaultParagraphFont"/>
    <w:uiPriority w:val="99"/>
    <w:unhideWhenUsed/>
    <w:rsid w:val="007C6F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5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soryservice@eani.org.uk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2.png@01DCC805.CFF872F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albinism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nd.eani.org.uk/support-services/vision-impairment-and-deaf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Albinism</vt:lpstr>
    </vt:vector>
  </TitlesOfParts>
  <Company>EANI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Albinism</dc:title>
  <dc:subject/>
  <dc:creator>Nicola Heatley</dc:creator>
  <cp:keywords>albinism, vision impairment, EA Sensory Service, QTVI</cp:keywords>
  <dc:description/>
  <cp:lastModifiedBy>Siobhan Rafferty</cp:lastModifiedBy>
  <cp:revision>1</cp:revision>
  <dcterms:created xsi:type="dcterms:W3CDTF">2026-05-22T10:10:00Z</dcterms:created>
  <dcterms:modified xsi:type="dcterms:W3CDTF">2026-05-22T10:10:00Z</dcterms:modified>
</cp:coreProperties>
</file>