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5AB3" w14:textId="77777777" w:rsidR="007C6F0C" w:rsidRPr="007C6F0C" w:rsidRDefault="007C6F0C" w:rsidP="007C6F0C">
      <w:r>
        <w:rPr>
          <w:noProof/>
          <w:lang w:eastAsia="en-GB"/>
        </w:rPr>
        <w:drawing>
          <wp:inline distT="0" distB="0" distL="0" distR="0" wp14:anchorId="67670966" wp14:editId="7E9B1496">
            <wp:extent cx="2037080" cy="557530"/>
            <wp:effectExtent l="0" t="0" r="1270" b="0"/>
            <wp:docPr id="1" name="Picture 1" descr="The Education Authority logo &#10;&#10;The logo has a tulip shape image in blue, green and yellow, with the letters EA and word Education Authority to right of the imag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Education Authority logo &#10;&#10;The logo has a tulip shape image in blue, green and yellow, with the letters EA and word Education Authority to right of the image. 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14EF">
        <w:t xml:space="preserve">                  </w:t>
      </w:r>
      <w:r w:rsidR="009514EF">
        <w:rPr>
          <w:noProof/>
        </w:rPr>
        <w:drawing>
          <wp:inline distT="0" distB="0" distL="0" distR="0" wp14:anchorId="13027DFE" wp14:editId="7ADD0A4E">
            <wp:extent cx="1250315" cy="723265"/>
            <wp:effectExtent l="0" t="0" r="6985" b="635"/>
            <wp:docPr id="1386456447" name="Picture 1" descr="Sensory Service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56447" name="Picture 1" descr="Sensory Service logo&#10;&#10;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D7ABE" w14:textId="77777777" w:rsidR="007C6F0C" w:rsidRPr="007C6F0C" w:rsidRDefault="007C6F0C" w:rsidP="007C6F0C">
      <w:pPr>
        <w:pStyle w:val="Heading6"/>
      </w:pPr>
      <w:r w:rsidRPr="007C6F0C">
        <w:t xml:space="preserve"> EA Sens</w:t>
      </w:r>
      <w:r>
        <w:t>ory Service – Vision Impairment</w:t>
      </w:r>
    </w:p>
    <w:p w14:paraId="1B7A8C37" w14:textId="77777777" w:rsidR="007C6F0C" w:rsidRDefault="007C6F0C" w:rsidP="007C6F0C">
      <w:pPr>
        <w:rPr>
          <w:b/>
          <w:bCs/>
        </w:rPr>
      </w:pPr>
    </w:p>
    <w:p w14:paraId="4761CE81" w14:textId="77777777" w:rsidR="007C6F0C" w:rsidRPr="00591E64" w:rsidRDefault="009E28E1" w:rsidP="007C6F0C">
      <w:pPr>
        <w:rPr>
          <w:b/>
          <w:bCs/>
          <w:sz w:val="36"/>
          <w:szCs w:val="36"/>
        </w:rPr>
      </w:pPr>
      <w:r w:rsidRPr="00591E64">
        <w:rPr>
          <w:b/>
          <w:bCs/>
          <w:sz w:val="36"/>
          <w:szCs w:val="36"/>
        </w:rPr>
        <w:t>Foveal Hypoplasia</w:t>
      </w:r>
    </w:p>
    <w:p w14:paraId="0E3C115E" w14:textId="77777777" w:rsidR="007C6F0C" w:rsidRPr="007C6F0C" w:rsidRDefault="007C6F0C" w:rsidP="007C6F0C">
      <w:pPr>
        <w:pStyle w:val="Heading5"/>
      </w:pPr>
      <w:r>
        <w:rPr>
          <w:bCs/>
        </w:rPr>
        <w:t xml:space="preserve">What is </w:t>
      </w:r>
      <w:r w:rsidR="00591E64">
        <w:rPr>
          <w:bCs/>
        </w:rPr>
        <w:t>foveal hypoplasia</w:t>
      </w:r>
      <w:r>
        <w:rPr>
          <w:bCs/>
        </w:rPr>
        <w:t>?</w:t>
      </w:r>
    </w:p>
    <w:p w14:paraId="31730935" w14:textId="77777777" w:rsidR="007C6F0C" w:rsidRPr="007C6F0C" w:rsidRDefault="007C6F0C" w:rsidP="007C6F0C">
      <w:pPr>
        <w:pStyle w:val="ListParagraph"/>
        <w:numPr>
          <w:ilvl w:val="0"/>
          <w:numId w:val="1"/>
        </w:numPr>
        <w:spacing w:line="240" w:lineRule="auto"/>
        <w:ind w:left="357"/>
      </w:pPr>
      <w:r>
        <w:t>It is an inherited condition</w:t>
      </w:r>
    </w:p>
    <w:p w14:paraId="253509BA" w14:textId="77777777" w:rsidR="007C6F0C" w:rsidRDefault="007C6F0C" w:rsidP="007C6F0C">
      <w:pPr>
        <w:pStyle w:val="ListParagraph"/>
        <w:numPr>
          <w:ilvl w:val="0"/>
          <w:numId w:val="1"/>
        </w:numPr>
        <w:spacing w:line="240" w:lineRule="auto"/>
        <w:ind w:left="357"/>
      </w:pPr>
      <w:r w:rsidRPr="007C6F0C">
        <w:t xml:space="preserve">It </w:t>
      </w:r>
      <w:r w:rsidR="000C5640">
        <w:t xml:space="preserve">characterised by </w:t>
      </w:r>
      <w:r w:rsidR="00591E64">
        <w:t xml:space="preserve">the </w:t>
      </w:r>
      <w:r w:rsidR="000C5640">
        <w:t xml:space="preserve">underdevelopment (complete or partial) of the </w:t>
      </w:r>
      <w:r w:rsidR="00591E64">
        <w:t xml:space="preserve">fovea, </w:t>
      </w:r>
      <w:r w:rsidR="00B57C2A">
        <w:t xml:space="preserve">in the retina, </w:t>
      </w:r>
      <w:r w:rsidR="00591E64">
        <w:t>at the back of the eye</w:t>
      </w:r>
      <w:r w:rsidR="000C5640">
        <w:t>.</w:t>
      </w:r>
      <w:r w:rsidR="00591E64">
        <w:t xml:space="preserve"> </w:t>
      </w:r>
    </w:p>
    <w:p w14:paraId="7EC2E561" w14:textId="77777777" w:rsidR="00591E64" w:rsidRPr="007C6F0C" w:rsidRDefault="00591E64" w:rsidP="007C6F0C">
      <w:pPr>
        <w:pStyle w:val="ListParagraph"/>
        <w:numPr>
          <w:ilvl w:val="0"/>
          <w:numId w:val="1"/>
        </w:numPr>
        <w:spacing w:line="240" w:lineRule="auto"/>
        <w:ind w:left="357"/>
      </w:pPr>
      <w:r>
        <w:t xml:space="preserve">It can appear on its own </w:t>
      </w:r>
      <w:r w:rsidR="000C5640">
        <w:t xml:space="preserve">and it </w:t>
      </w:r>
      <w:r>
        <w:t xml:space="preserve">is </w:t>
      </w:r>
      <w:r w:rsidR="000C5640">
        <w:t xml:space="preserve">also </w:t>
      </w:r>
      <w:r>
        <w:t xml:space="preserve">associated with other </w:t>
      </w:r>
      <w:r w:rsidR="00A1230A">
        <w:t xml:space="preserve">ocular </w:t>
      </w:r>
      <w:r>
        <w:t>conditions.</w:t>
      </w:r>
    </w:p>
    <w:p w14:paraId="15E6BF04" w14:textId="77777777" w:rsidR="00F76B95" w:rsidRDefault="00F76B95" w:rsidP="007C6F0C">
      <w:pPr>
        <w:pStyle w:val="Heading5"/>
        <w:rPr>
          <w:bCs/>
        </w:rPr>
      </w:pPr>
    </w:p>
    <w:p w14:paraId="503AAAD5" w14:textId="77777777" w:rsidR="007C6F0C" w:rsidRPr="007C6F0C" w:rsidRDefault="007C6F0C" w:rsidP="007C6F0C">
      <w:pPr>
        <w:pStyle w:val="Heading5"/>
      </w:pPr>
      <w:r w:rsidRPr="007C6F0C">
        <w:rPr>
          <w:bCs/>
        </w:rPr>
        <w:t>Wh</w:t>
      </w:r>
      <w:r>
        <w:rPr>
          <w:bCs/>
        </w:rPr>
        <w:t xml:space="preserve">at are the effects of </w:t>
      </w:r>
      <w:r w:rsidR="000C5640">
        <w:rPr>
          <w:bCs/>
        </w:rPr>
        <w:t>foveal hypoplasia</w:t>
      </w:r>
      <w:r>
        <w:rPr>
          <w:bCs/>
        </w:rPr>
        <w:t>?</w:t>
      </w:r>
    </w:p>
    <w:p w14:paraId="75B897ED" w14:textId="77777777" w:rsidR="00A1230A" w:rsidRDefault="00A1230A" w:rsidP="007C6F0C">
      <w:pPr>
        <w:pStyle w:val="ListParagraph"/>
        <w:numPr>
          <w:ilvl w:val="0"/>
          <w:numId w:val="3"/>
        </w:numPr>
      </w:pPr>
      <w:r>
        <w:t xml:space="preserve">We use our fovea for seeing fine detail and </w:t>
      </w:r>
      <w:r w:rsidR="00650969">
        <w:t xml:space="preserve">variations in </w:t>
      </w:r>
      <w:r>
        <w:t>contrast</w:t>
      </w:r>
      <w:r w:rsidR="00650969">
        <w:t>,</w:t>
      </w:r>
      <w:r>
        <w:t xml:space="preserve"> therefore if the fovea is not developed</w:t>
      </w:r>
      <w:r w:rsidR="00823411">
        <w:t>,</w:t>
      </w:r>
      <w:r>
        <w:t xml:space="preserve"> seeing detail and images that do not offer high contrast can be more difficult.</w:t>
      </w:r>
    </w:p>
    <w:p w14:paraId="45A9442D" w14:textId="77777777" w:rsidR="002F4AAB" w:rsidRPr="007C6F0C" w:rsidRDefault="002F4AAB" w:rsidP="002F4AAB">
      <w:pPr>
        <w:pStyle w:val="ListParagraph"/>
        <w:numPr>
          <w:ilvl w:val="0"/>
          <w:numId w:val="3"/>
        </w:numPr>
      </w:pPr>
      <w:r w:rsidRPr="007C6F0C">
        <w:t xml:space="preserve">Some </w:t>
      </w:r>
      <w:r w:rsidR="00650969">
        <w:t xml:space="preserve">pupils </w:t>
      </w:r>
      <w:r w:rsidRPr="007C6F0C">
        <w:t xml:space="preserve">will see quite well while others may have </w:t>
      </w:r>
      <w:r>
        <w:t>a significant vision impairment</w:t>
      </w:r>
    </w:p>
    <w:p w14:paraId="09A94D8A" w14:textId="77777777" w:rsidR="007C6F0C" w:rsidRPr="007C6F0C" w:rsidRDefault="00A1230A" w:rsidP="007C6F0C">
      <w:pPr>
        <w:pStyle w:val="ListParagraph"/>
        <w:numPr>
          <w:ilvl w:val="0"/>
          <w:numId w:val="3"/>
        </w:numPr>
      </w:pPr>
      <w:r>
        <w:t>Foveal Hypoplasia</w:t>
      </w:r>
      <w:r w:rsidR="007C6F0C" w:rsidRPr="007C6F0C">
        <w:t xml:space="preserve"> is a stable condition</w:t>
      </w:r>
      <w:r w:rsidR="00650969">
        <w:t>,</w:t>
      </w:r>
      <w:r w:rsidR="007C6F0C" w:rsidRPr="007C6F0C">
        <w:t xml:space="preserve"> so the level of vi</w:t>
      </w:r>
      <w:r w:rsidR="007C6F0C">
        <w:t>sion is unlikely to deteriorate</w:t>
      </w:r>
    </w:p>
    <w:p w14:paraId="3F105CC8" w14:textId="77777777" w:rsidR="007C6F0C" w:rsidRPr="007C6F0C" w:rsidRDefault="007C6F0C" w:rsidP="007C6F0C">
      <w:pPr>
        <w:pStyle w:val="ListParagraph"/>
        <w:numPr>
          <w:ilvl w:val="0"/>
          <w:numId w:val="3"/>
        </w:numPr>
      </w:pPr>
      <w:r w:rsidRPr="007C6F0C">
        <w:t xml:space="preserve">Nystagmus (wobbly eyes) and </w:t>
      </w:r>
      <w:hyperlink r:id="rId8" w:history="1">
        <w:r w:rsidRPr="00925AE1">
          <w:rPr>
            <w:rStyle w:val="Hyperlink"/>
          </w:rPr>
          <w:t>photophobia</w:t>
        </w:r>
      </w:hyperlink>
      <w:r w:rsidRPr="007C6F0C">
        <w:t xml:space="preserve"> (light sensitivity) are associated conditions. For more information on nystagmus please read the Nystagm</w:t>
      </w:r>
      <w:r>
        <w:t>us advice sheet on our website.</w:t>
      </w:r>
    </w:p>
    <w:p w14:paraId="71C44097" w14:textId="77777777" w:rsidR="007C6F0C" w:rsidRPr="007C6F0C" w:rsidRDefault="007C6F0C" w:rsidP="007C6F0C"/>
    <w:p w14:paraId="10EEDC31" w14:textId="77777777" w:rsidR="007C6F0C" w:rsidRPr="007C6F0C" w:rsidRDefault="007C6F0C" w:rsidP="007C6F0C">
      <w:pPr>
        <w:pStyle w:val="Heading5"/>
      </w:pPr>
      <w:r w:rsidRPr="007C6F0C">
        <w:t xml:space="preserve">What can help? </w:t>
      </w:r>
    </w:p>
    <w:p w14:paraId="3681F6AE" w14:textId="77777777"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Wear glasses</w:t>
      </w:r>
      <w:r w:rsidR="008B04C9">
        <w:t>,</w:t>
      </w:r>
      <w:r w:rsidRPr="007C6F0C">
        <w:t xml:space="preserve"> if</w:t>
      </w:r>
      <w:r>
        <w:t xml:space="preserve"> prescribed</w:t>
      </w:r>
      <w:r w:rsidR="008B04C9">
        <w:t>,</w:t>
      </w:r>
      <w:r>
        <w:t xml:space="preserve"> and keep them clean</w:t>
      </w:r>
    </w:p>
    <w:p w14:paraId="32E13180" w14:textId="77777777"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Wear a peaked cap and/or dar</w:t>
      </w:r>
      <w:r>
        <w:t>k glasses to help control glare</w:t>
      </w:r>
    </w:p>
    <w:p w14:paraId="0434CF80" w14:textId="77777777"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 xml:space="preserve">Ensure correct positioning i.e. close to the activity or item being looked </w:t>
      </w:r>
      <w:r>
        <w:t>at</w:t>
      </w:r>
      <w:r w:rsidR="008B04C9">
        <w:t>,</w:t>
      </w:r>
      <w:r>
        <w:t xml:space="preserve"> and with </w:t>
      </w:r>
      <w:r w:rsidR="008B04C9">
        <w:t xml:space="preserve">the </w:t>
      </w:r>
      <w:r>
        <w:t>light source behind</w:t>
      </w:r>
    </w:p>
    <w:p w14:paraId="7909065D" w14:textId="77777777"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Use blinds</w:t>
      </w:r>
      <w:r w:rsidR="008B04C9">
        <w:t>/curtains</w:t>
      </w:r>
      <w:r w:rsidRPr="007C6F0C">
        <w:t xml:space="preserve"> to control sunlight and glare</w:t>
      </w:r>
      <w:r w:rsidR="008B04C9">
        <w:t>,</w:t>
      </w:r>
      <w:r w:rsidRPr="007C6F0C">
        <w:t xml:space="preserve"> and teachers should avoid standing in front of</w:t>
      </w:r>
      <w:r>
        <w:t xml:space="preserve"> windows when speaking to </w:t>
      </w:r>
      <w:r w:rsidR="008B04C9">
        <w:t xml:space="preserve">the </w:t>
      </w:r>
      <w:r>
        <w:t>class</w:t>
      </w:r>
    </w:p>
    <w:p w14:paraId="6A4605B5" w14:textId="77777777"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 xml:space="preserve">Worksheets and photocopies should be clear with </w:t>
      </w:r>
      <w:r w:rsidR="00D64380">
        <w:t>high</w:t>
      </w:r>
      <w:r w:rsidRPr="007C6F0C">
        <w:t xml:space="preserve"> c</w:t>
      </w:r>
      <w:r>
        <w:t>ontrast between print and paper</w:t>
      </w:r>
    </w:p>
    <w:p w14:paraId="1B55EE90" w14:textId="77777777"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Write using a 2B pencil, a black felt tip pen</w:t>
      </w:r>
      <w:r w:rsidR="00DE6669">
        <w:t>,</w:t>
      </w:r>
      <w:r w:rsidRPr="007C6F0C">
        <w:t xml:space="preserve"> or blac</w:t>
      </w:r>
      <w:r>
        <w:t xml:space="preserve">k biro to provide </w:t>
      </w:r>
      <w:r w:rsidR="00DE6669">
        <w:t xml:space="preserve">high </w:t>
      </w:r>
      <w:r>
        <w:t>contrast</w:t>
      </w:r>
    </w:p>
    <w:p w14:paraId="4AADBCD0" w14:textId="77777777"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lastRenderedPageBreak/>
        <w:t>Use good quality black or dark blue markers on whiteboards. Avoid using green</w:t>
      </w:r>
      <w:r w:rsidR="00106DAC">
        <w:t>, r</w:t>
      </w:r>
      <w:r w:rsidRPr="007C6F0C">
        <w:t>ed</w:t>
      </w:r>
      <w:r w:rsidR="00DE6669">
        <w:t>,</w:t>
      </w:r>
      <w:r w:rsidRPr="007C6F0C">
        <w:t xml:space="preserve"> or other light colours</w:t>
      </w:r>
      <w:r w:rsidR="008F3C4E">
        <w:t>,</w:t>
      </w:r>
      <w:r w:rsidRPr="007C6F0C">
        <w:t xml:space="preserve"> as many in a class wi</w:t>
      </w:r>
      <w:r>
        <w:t>ll have difficulty seeing these</w:t>
      </w:r>
    </w:p>
    <w:p w14:paraId="063161BD" w14:textId="77777777"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Write teacher comments in black pen</w:t>
      </w:r>
      <w:r w:rsidR="008F3C4E">
        <w:t>,</w:t>
      </w:r>
      <w:r w:rsidRPr="007C6F0C">
        <w:t xml:space="preserve"> large</w:t>
      </w:r>
      <w:r>
        <w:t xml:space="preserve"> enough for the </w:t>
      </w:r>
      <w:r w:rsidR="00DE6669">
        <w:t>pupil</w:t>
      </w:r>
      <w:r>
        <w:t xml:space="preserve"> to read</w:t>
      </w:r>
    </w:p>
    <w:p w14:paraId="2F7F51E6" w14:textId="77777777" w:rsidR="007C6F0C" w:rsidRPr="007C6F0C" w:rsidRDefault="007C6F0C" w:rsidP="007C6F0C">
      <w:pPr>
        <w:pStyle w:val="ListParagraph"/>
        <w:numPr>
          <w:ilvl w:val="0"/>
          <w:numId w:val="4"/>
        </w:numPr>
      </w:pPr>
      <w:r w:rsidRPr="007C6F0C">
        <w:t>Allow student to have the book at an angle and distance which is comfortable for them. Special stands for books and</w:t>
      </w:r>
      <w:r>
        <w:t xml:space="preserve"> sloping desktops are available</w:t>
      </w:r>
    </w:p>
    <w:p w14:paraId="4275ADE9" w14:textId="77777777" w:rsidR="007C6F0C" w:rsidRDefault="007C6F0C" w:rsidP="007C6F0C">
      <w:pPr>
        <w:pStyle w:val="ListParagraph"/>
        <w:numPr>
          <w:ilvl w:val="0"/>
          <w:numId w:val="4"/>
        </w:numPr>
      </w:pPr>
      <w:r w:rsidRPr="007C6F0C">
        <w:t>Students with vision impairment require their own copy of books and works</w:t>
      </w:r>
      <w:r>
        <w:t>heets. Do not ask them to share</w:t>
      </w:r>
    </w:p>
    <w:p w14:paraId="379D96D1" w14:textId="77777777" w:rsidR="001F367A" w:rsidRPr="007C6F0C" w:rsidRDefault="001F367A" w:rsidP="006E0327">
      <w:pPr>
        <w:pStyle w:val="ListParagraph"/>
        <w:ind w:left="360"/>
      </w:pPr>
    </w:p>
    <w:p w14:paraId="33AF9B3B" w14:textId="77777777" w:rsidR="007C6F0C" w:rsidRPr="007C6F0C" w:rsidRDefault="007C6F0C" w:rsidP="00A1230A">
      <w:pPr>
        <w:pStyle w:val="ListParagraph"/>
        <w:ind w:left="360"/>
      </w:pPr>
    </w:p>
    <w:p w14:paraId="72E2EEF6" w14:textId="77777777" w:rsidR="006E0327" w:rsidRDefault="006E0327" w:rsidP="006E0327">
      <w:pPr>
        <w:spacing w:line="240" w:lineRule="auto"/>
        <w:rPr>
          <w:sz w:val="32"/>
        </w:rPr>
      </w:pPr>
      <w:r>
        <w:t>When a child is referred to the Sensory Service, a</w:t>
      </w:r>
      <w:r w:rsidRPr="00332C6F">
        <w:t xml:space="preserve"> Qualified Teacher of the Vision Impaired (QTVI) will assess</w:t>
      </w:r>
      <w:r>
        <w:t xml:space="preserve"> their </w:t>
      </w:r>
      <w:r w:rsidRPr="00332C6F">
        <w:t>functional vision within the school environment</w:t>
      </w:r>
      <w:r>
        <w:t>,</w:t>
      </w:r>
      <w:r w:rsidRPr="00332C6F">
        <w:t xml:space="preserve"> and provide advice to the school </w:t>
      </w:r>
      <w:r>
        <w:t>regarding</w:t>
      </w:r>
      <w:r w:rsidRPr="00332C6F">
        <w:t xml:space="preserve"> strategies for curriculum access and independent learning</w:t>
      </w:r>
      <w:r w:rsidRPr="00332C6F">
        <w:rPr>
          <w:sz w:val="32"/>
        </w:rPr>
        <w:t xml:space="preserve"> </w:t>
      </w:r>
    </w:p>
    <w:p w14:paraId="06F64CFB" w14:textId="77777777" w:rsidR="006E0327" w:rsidRDefault="006E0327" w:rsidP="006E0327">
      <w:pPr>
        <w:spacing w:line="240" w:lineRule="auto"/>
        <w:rPr>
          <w:sz w:val="32"/>
        </w:rPr>
      </w:pPr>
    </w:p>
    <w:p w14:paraId="31F3E52B" w14:textId="77777777" w:rsidR="006E0327" w:rsidRDefault="006E0327" w:rsidP="006E0327">
      <w:pPr>
        <w:pStyle w:val="Heading5"/>
      </w:pPr>
      <w:r>
        <w:t xml:space="preserve">Useful contacts </w:t>
      </w:r>
    </w:p>
    <w:p w14:paraId="74AB6DFF" w14:textId="77777777" w:rsidR="006E0327" w:rsidRPr="00F74BF4" w:rsidRDefault="006E0327" w:rsidP="006E0327"/>
    <w:p w14:paraId="6FA7C57F" w14:textId="77777777" w:rsidR="006E0327" w:rsidRPr="00C113E3" w:rsidRDefault="006E0327" w:rsidP="006E0327">
      <w:pPr>
        <w:pStyle w:val="ListParagraph"/>
        <w:ind w:left="0"/>
      </w:pPr>
      <w:r w:rsidRPr="00C113E3">
        <w:t>EA Sensory Service</w:t>
      </w:r>
    </w:p>
    <w:p w14:paraId="12508EB4" w14:textId="77777777" w:rsidR="006E0327" w:rsidRPr="001B671E" w:rsidRDefault="006E0327" w:rsidP="006E0327">
      <w:pPr>
        <w:pStyle w:val="ListParagraph"/>
        <w:ind w:left="0"/>
      </w:pPr>
      <w:r w:rsidRPr="001B671E">
        <w:t>Tel:</w:t>
      </w:r>
      <w:r>
        <w:t xml:space="preserve"> </w:t>
      </w:r>
      <w:r w:rsidRPr="00C113E3">
        <w:rPr>
          <w14:ligatures w14:val="standardContextual"/>
        </w:rPr>
        <w:t>028 9031 7777- Select Option 2</w:t>
      </w:r>
    </w:p>
    <w:p w14:paraId="377F42B8" w14:textId="324DCEFA" w:rsidR="006E0327" w:rsidRPr="001B671E" w:rsidRDefault="006E0327" w:rsidP="006E0327">
      <w:pPr>
        <w:pStyle w:val="ListParagraph"/>
        <w:ind w:left="0"/>
        <w:rPr>
          <w:b/>
          <w:bCs/>
        </w:rPr>
      </w:pPr>
      <w:r w:rsidRPr="001B671E">
        <w:t>E</w:t>
      </w:r>
      <w:r w:rsidR="00C113E3">
        <w:t>mail</w:t>
      </w:r>
      <w:r w:rsidRPr="001B671E">
        <w:t>:</w:t>
      </w:r>
      <w:r w:rsidRPr="001B671E">
        <w:rPr>
          <w:rFonts w:cstheme="minorBidi"/>
        </w:rPr>
        <w:t xml:space="preserve"> </w:t>
      </w:r>
      <w:hyperlink r:id="rId9" w:history="1">
        <w:r w:rsidRPr="00C113E3">
          <w:t>sensoryservice@eani.org.uk</w:t>
        </w:r>
      </w:hyperlink>
    </w:p>
    <w:p w14:paraId="282F5095" w14:textId="4C1BD270" w:rsidR="007C6F0C" w:rsidRPr="006E0327" w:rsidRDefault="006E0327" w:rsidP="007C6F0C">
      <w:pPr>
        <w:pStyle w:val="Heading5"/>
        <w:rPr>
          <w:b w:val="0"/>
          <w:sz w:val="28"/>
          <w:szCs w:val="28"/>
        </w:rPr>
      </w:pPr>
      <w:r w:rsidRPr="001B671E">
        <w:rPr>
          <w:b w:val="0"/>
          <w:bCs/>
          <w:sz w:val="28"/>
          <w:szCs w:val="28"/>
        </w:rPr>
        <w:t>W</w:t>
      </w:r>
      <w:r w:rsidR="00C113E3">
        <w:rPr>
          <w:b w:val="0"/>
          <w:bCs/>
          <w:sz w:val="28"/>
          <w:szCs w:val="28"/>
        </w:rPr>
        <w:t>ebsite</w:t>
      </w:r>
      <w:r w:rsidRPr="001B671E">
        <w:rPr>
          <w:sz w:val="28"/>
          <w:szCs w:val="28"/>
        </w:rPr>
        <w:t xml:space="preserve">: </w:t>
      </w:r>
      <w:hyperlink r:id="rId10" w:history="1">
        <w:r w:rsidRPr="00C113E3">
          <w:rPr>
            <w:b w:val="0"/>
            <w:bCs/>
            <w:sz w:val="28"/>
            <w:szCs w:val="28"/>
            <w14:ligatures w14:val="standardContextual"/>
          </w:rPr>
          <w:t>Vision Impairment and Deafness | SEND Plan (eani.org.uk)</w:t>
        </w:r>
      </w:hyperlink>
    </w:p>
    <w:p w14:paraId="3A331F66" w14:textId="77777777" w:rsidR="007C6F0C" w:rsidRDefault="007C6F0C" w:rsidP="007C6F0C">
      <w:pPr>
        <w:pStyle w:val="ListParagraph"/>
        <w:ind w:left="0"/>
      </w:pPr>
    </w:p>
    <w:p w14:paraId="56485988" w14:textId="77777777" w:rsidR="007C6F0C" w:rsidRPr="007C6F0C" w:rsidRDefault="007C6F0C" w:rsidP="007C6F0C">
      <w:pPr>
        <w:pStyle w:val="ListParagraph"/>
        <w:ind w:left="0"/>
      </w:pPr>
      <w:hyperlink r:id="rId11" w:history="1">
        <w:r w:rsidRPr="007C6F0C">
          <w:rPr>
            <w:rStyle w:val="Hyperlink"/>
          </w:rPr>
          <w:t>Albinism Fellowship UK and Ireland</w:t>
        </w:r>
      </w:hyperlink>
    </w:p>
    <w:p w14:paraId="309F8934" w14:textId="77777777" w:rsidR="00250870" w:rsidRDefault="007C6F0C" w:rsidP="007C6F0C">
      <w:pPr>
        <w:pStyle w:val="ListParagraph"/>
        <w:ind w:left="0"/>
      </w:pPr>
      <w:r w:rsidRPr="007C6F0C">
        <w:t>Tel: +44 7946 45797</w:t>
      </w:r>
    </w:p>
    <w:p w14:paraId="735F5EB6" w14:textId="77777777" w:rsidR="00A20119" w:rsidRDefault="009514EF">
      <w:pPr>
        <w:pStyle w:val="ListParagraph"/>
        <w:ind w:left="0"/>
      </w:pPr>
      <w:r>
        <w:rPr>
          <w:noProof/>
        </w:rPr>
        <w:drawing>
          <wp:inline distT="0" distB="0" distL="0" distR="0" wp14:anchorId="53062F8A" wp14:editId="51FDEEFF">
            <wp:extent cx="1250315" cy="723265"/>
            <wp:effectExtent l="0" t="0" r="6985" b="635"/>
            <wp:docPr id="1775853911" name="Picture 2" descr="Sensory Service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53911" name="Picture 2" descr="Sensory Service logo&#10;&#10;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119" w:rsidSect="00CD7EB0">
      <w:pgSz w:w="11906" w:h="17338"/>
      <w:pgMar w:top="1440" w:right="1440" w:bottom="1440" w:left="144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1A94"/>
    <w:multiLevelType w:val="hybridMultilevel"/>
    <w:tmpl w:val="E33C34A8"/>
    <w:lvl w:ilvl="0" w:tplc="054482D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3BE"/>
    <w:multiLevelType w:val="hybridMultilevel"/>
    <w:tmpl w:val="E3107D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8B4D8A"/>
    <w:multiLevelType w:val="hybridMultilevel"/>
    <w:tmpl w:val="F6B655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238AF"/>
    <w:multiLevelType w:val="hybridMultilevel"/>
    <w:tmpl w:val="914A5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6839081">
    <w:abstractNumId w:val="3"/>
  </w:num>
  <w:num w:numId="2" w16cid:durableId="589310522">
    <w:abstractNumId w:val="0"/>
  </w:num>
  <w:num w:numId="3" w16cid:durableId="2037264864">
    <w:abstractNumId w:val="1"/>
  </w:num>
  <w:num w:numId="4" w16cid:durableId="50594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0C"/>
    <w:rsid w:val="0005536A"/>
    <w:rsid w:val="000C5640"/>
    <w:rsid w:val="00106DAC"/>
    <w:rsid w:val="001A0201"/>
    <w:rsid w:val="001F367A"/>
    <w:rsid w:val="00230C0F"/>
    <w:rsid w:val="00250870"/>
    <w:rsid w:val="002861A6"/>
    <w:rsid w:val="00291B7C"/>
    <w:rsid w:val="002F4AAB"/>
    <w:rsid w:val="00374EEF"/>
    <w:rsid w:val="00380ED9"/>
    <w:rsid w:val="0039196A"/>
    <w:rsid w:val="005205A9"/>
    <w:rsid w:val="00591E64"/>
    <w:rsid w:val="006258D9"/>
    <w:rsid w:val="00650969"/>
    <w:rsid w:val="006E0327"/>
    <w:rsid w:val="00713CB1"/>
    <w:rsid w:val="00734FFC"/>
    <w:rsid w:val="00762EB8"/>
    <w:rsid w:val="007A2814"/>
    <w:rsid w:val="007C6701"/>
    <w:rsid w:val="007C6F0C"/>
    <w:rsid w:val="007F44FF"/>
    <w:rsid w:val="00823411"/>
    <w:rsid w:val="008B04C9"/>
    <w:rsid w:val="008C3BB7"/>
    <w:rsid w:val="008F3C4E"/>
    <w:rsid w:val="00925AE1"/>
    <w:rsid w:val="009514EF"/>
    <w:rsid w:val="009E28E1"/>
    <w:rsid w:val="00A11C20"/>
    <w:rsid w:val="00A1230A"/>
    <w:rsid w:val="00A20119"/>
    <w:rsid w:val="00A95E22"/>
    <w:rsid w:val="00B325F5"/>
    <w:rsid w:val="00B57C2A"/>
    <w:rsid w:val="00BE5A85"/>
    <w:rsid w:val="00BE6E84"/>
    <w:rsid w:val="00C113E3"/>
    <w:rsid w:val="00C21066"/>
    <w:rsid w:val="00C36132"/>
    <w:rsid w:val="00CD7EB0"/>
    <w:rsid w:val="00D14798"/>
    <w:rsid w:val="00D64380"/>
    <w:rsid w:val="00DE6669"/>
    <w:rsid w:val="00E90D6D"/>
    <w:rsid w:val="00F32AB8"/>
    <w:rsid w:val="00F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2537"/>
  <w15:chartTrackingRefBased/>
  <w15:docId w15:val="{8A351631-E8A2-41FF-8DF2-1D86BA11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D9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B7C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7C"/>
    <w:pPr>
      <w:keepNext/>
      <w:keepLines/>
      <w:spacing w:before="40" w:line="259" w:lineRule="auto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B7C"/>
    <w:pPr>
      <w:keepNext/>
      <w:keepLines/>
      <w:spacing w:before="40" w:line="259" w:lineRule="auto"/>
      <w:outlineLvl w:val="2"/>
    </w:pPr>
    <w:rPr>
      <w:rFonts w:eastAsiaTheme="majorEastAsia" w:cstheme="majorBidi"/>
      <w:b/>
      <w:color w:val="000000" w:themeColor="text1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B7C"/>
    <w:pPr>
      <w:keepNext/>
      <w:keepLines/>
      <w:spacing w:before="40" w:line="259" w:lineRule="auto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 w:line="259" w:lineRule="auto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536A"/>
    <w:pPr>
      <w:keepNext/>
      <w:keepLines/>
      <w:spacing w:before="40" w:line="250" w:lineRule="auto"/>
      <w:ind w:left="365" w:hanging="365"/>
      <w:outlineLvl w:val="5"/>
    </w:pPr>
    <w:rPr>
      <w:rFonts w:eastAsiaTheme="majorEastAsia" w:cstheme="majorBidi"/>
      <w:color w:val="000000"/>
      <w:sz w:val="3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7C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1B7C"/>
    <w:rPr>
      <w:rFonts w:ascii="Arial" w:eastAsiaTheme="majorEastAsia" w:hAnsi="Arial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B7C"/>
    <w:rPr>
      <w:rFonts w:ascii="Arial" w:eastAsiaTheme="majorEastAsia" w:hAnsi="Arial" w:cstheme="majorBidi"/>
      <w:b/>
      <w:color w:val="000000" w:themeColor="text1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1B7C"/>
    <w:rPr>
      <w:rFonts w:ascii="Arial" w:eastAsiaTheme="majorEastAsia" w:hAnsi="Arial" w:cstheme="majorBidi"/>
      <w:iCs/>
      <w:color w:val="000000" w:themeColor="text1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rsid w:val="0005536A"/>
    <w:rPr>
      <w:rFonts w:ascii="Arial" w:eastAsiaTheme="majorEastAsia" w:hAnsi="Arial" w:cstheme="majorBidi"/>
      <w:color w:val="000000"/>
      <w:sz w:val="3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rFonts w:cs="Arial"/>
      <w:szCs w:val="28"/>
    </w:rPr>
  </w:style>
  <w:style w:type="character" w:styleId="Hyperlink">
    <w:name w:val="Hyperlink"/>
    <w:basedOn w:val="DefaultParagraphFont"/>
    <w:uiPriority w:val="99"/>
    <w:unhideWhenUsed/>
    <w:rsid w:val="007C6F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ib.org.uk/eye-health/eye-conditions/light-sensitivi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2.png@01DCC805.CFF872F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albinism.org.uk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send.eani.org.uk/support-services/vision-impairment-and-deaf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nsoryservice@eani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Albinism</vt:lpstr>
    </vt:vector>
  </TitlesOfParts>
  <Company>EANI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Albinism</dc:title>
  <dc:subject/>
  <dc:creator>Nicola Heatley</dc:creator>
  <cp:keywords>albinism, vision impairment, EA Sensory Service, QTVI</cp:keywords>
  <dc:description/>
  <cp:lastModifiedBy>Siobhan Rafferty</cp:lastModifiedBy>
  <cp:revision>2</cp:revision>
  <dcterms:created xsi:type="dcterms:W3CDTF">2026-05-22T10:21:00Z</dcterms:created>
  <dcterms:modified xsi:type="dcterms:W3CDTF">2026-05-22T11:06:00Z</dcterms:modified>
</cp:coreProperties>
</file>