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665A" w:rsidRPr="00932D05" w:rsidRDefault="0077665A" w:rsidP="0077665A">
      <w:pPr>
        <w:spacing w:after="0" w:line="360" w:lineRule="auto"/>
        <w:rPr>
          <w:lang w:val="en"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0876EDD" wp14:editId="66B4C895">
            <wp:simplePos x="0" y="0"/>
            <wp:positionH relativeFrom="margin">
              <wp:posOffset>3933825</wp:posOffset>
            </wp:positionH>
            <wp:positionV relativeFrom="paragraph">
              <wp:posOffset>0</wp:posOffset>
            </wp:positionV>
            <wp:extent cx="2037600" cy="558000"/>
            <wp:effectExtent l="0" t="0" r="1270" b="0"/>
            <wp:wrapSquare wrapText="bothSides"/>
            <wp:docPr id="181" name="Picture 181" descr="The logo has a tulip shape image in blue, green and yellow, with the letters EA and word Education Authority t&#10;o right of the image. " title="The Education Authority logo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Picture 18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7600" cy="55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7D76">
        <w:rPr>
          <w:lang w:val="en" w:eastAsia="en-GB"/>
        </w:rPr>
        <w:t xml:space="preserve">          </w:t>
      </w:r>
      <w:r w:rsidR="000E7D76">
        <w:rPr>
          <w:noProof/>
        </w:rPr>
        <w:drawing>
          <wp:inline distT="0" distB="0" distL="0" distR="0" wp14:anchorId="1AF83539" wp14:editId="758F3FD8">
            <wp:extent cx="1250315" cy="717477"/>
            <wp:effectExtent l="0" t="0" r="6985" b="6985"/>
            <wp:docPr id="737963392" name="Picture 1" descr="A logo with blue and grey text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963392" name="Picture 1" descr="A logo with blue and grey text&#10;&#10;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42" cy="722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0D0" w:rsidRDefault="00C23D11" w:rsidP="00F720D0">
      <w:r>
        <w:t xml:space="preserve">            </w:t>
      </w:r>
    </w:p>
    <w:p w:rsidR="00C23D11" w:rsidRDefault="00C23D11" w:rsidP="00C23D11">
      <w:pPr>
        <w:rPr>
          <w:rFonts w:ascii="Verdana" w:eastAsia="Verdana" w:hAnsi="Verdana" w:cs="Verdana"/>
        </w:rPr>
      </w:pPr>
      <w:r>
        <w:rPr>
          <w:noProof/>
        </w:rPr>
        <w:t>EA Sensory Service – Vision Impairment</w:t>
      </w:r>
      <w:r>
        <w:rPr>
          <w:rFonts w:ascii="Verdana" w:eastAsia="Verdana" w:hAnsi="Verdana" w:cs="Verdana"/>
        </w:rPr>
        <w:t xml:space="preserve"> </w:t>
      </w:r>
    </w:p>
    <w:p w:rsidR="00C23D11" w:rsidRPr="00F720D0" w:rsidRDefault="00C23D11" w:rsidP="00F720D0"/>
    <w:p w:rsidR="0077665A" w:rsidRDefault="00BA5F8D" w:rsidP="00F720D0">
      <w:pPr>
        <w:pStyle w:val="Heading4"/>
      </w:pPr>
      <w:r>
        <w:t>Near Normal Vision &amp;</w:t>
      </w:r>
      <w:r w:rsidR="0077665A" w:rsidRPr="00932D05">
        <w:t xml:space="preserve"> Mild Vision Impairment</w:t>
      </w:r>
    </w:p>
    <w:p w:rsidR="00BA5F8D" w:rsidRPr="00BA5F8D" w:rsidRDefault="00BA5F8D" w:rsidP="00BA5F8D"/>
    <w:p w:rsidR="00BA5F8D" w:rsidRPr="00F720D0" w:rsidRDefault="00BA5F8D" w:rsidP="00F720D0">
      <w:pPr>
        <w:pStyle w:val="Heading5"/>
      </w:pPr>
      <w:r w:rsidRPr="00F720D0">
        <w:t>What is vision impairment?</w:t>
      </w:r>
    </w:p>
    <w:p w:rsidR="00BA5F8D" w:rsidRDefault="00C47B8C" w:rsidP="0077665A">
      <w:pPr>
        <w:spacing w:after="0" w:line="360" w:lineRule="auto"/>
      </w:pPr>
      <w:r w:rsidRPr="00EF702A">
        <w:t>Many children and young people (C&amp;YP) wear glasses/contact lenses to correct a refractive error, and for most, the</w:t>
      </w:r>
      <w:r w:rsidR="001F178E">
        <w:t>se</w:t>
      </w:r>
      <w:r w:rsidRPr="00EF702A">
        <w:t xml:space="preserve"> will bring their vision </w:t>
      </w:r>
      <w:r w:rsidR="001F178E">
        <w:t xml:space="preserve">to </w:t>
      </w:r>
      <w:r w:rsidRPr="00EF702A">
        <w:t>within “normal” or “near normal” limits.</w:t>
      </w:r>
    </w:p>
    <w:p w:rsidR="00BA5F8D" w:rsidRDefault="0077665A" w:rsidP="0077665A">
      <w:pPr>
        <w:spacing w:after="0" w:line="360" w:lineRule="auto"/>
      </w:pPr>
      <w:r w:rsidRPr="00EF702A">
        <w:t>A student has a vision impairment when glasses do not bring their level of vision within “normal” or “near normal” limits</w:t>
      </w:r>
      <w:r w:rsidR="00BA5F8D">
        <w:t>, or where there is a significant visual field loss or a cerebral vision impairment.</w:t>
      </w:r>
    </w:p>
    <w:p w:rsidR="0077665A" w:rsidRPr="00EF702A" w:rsidRDefault="0077665A" w:rsidP="0077665A">
      <w:pPr>
        <w:spacing w:after="0" w:line="360" w:lineRule="auto"/>
      </w:pPr>
      <w:r w:rsidRPr="00EF702A">
        <w:t>A student with vision impairment may or may not wear glasses, depending o</w:t>
      </w:r>
      <w:r w:rsidR="00F102C6">
        <w:t>n the cause of the vision loss.</w:t>
      </w:r>
    </w:p>
    <w:p w:rsidR="0077665A" w:rsidRPr="00B03512" w:rsidRDefault="0077665A" w:rsidP="00BA5F8D">
      <w:pPr>
        <w:pStyle w:val="Heading5"/>
      </w:pPr>
      <w:r w:rsidRPr="00B03512">
        <w:t>Visual Acuity</w:t>
      </w:r>
    </w:p>
    <w:p w:rsidR="0077665A" w:rsidRPr="00621FBC" w:rsidRDefault="0077665A" w:rsidP="00F102C6">
      <w:pPr>
        <w:spacing w:after="0" w:line="360" w:lineRule="auto"/>
      </w:pPr>
      <w:r w:rsidRPr="00621FBC">
        <w:t xml:space="preserve">Visual acuity is the term used to describe the smallest detail a person can see when looking straight at a stationary, high contrast (e.g. black on white) target in good lighting. It is </w:t>
      </w:r>
      <w:r>
        <w:t xml:space="preserve">often </w:t>
      </w:r>
      <w:r w:rsidRPr="00621FBC">
        <w:t xml:space="preserve">measured using the Snellen scale. A Snellen test usually consists of a number of rows of </w:t>
      </w:r>
      <w:r w:rsidR="005D62B3" w:rsidRPr="00621FBC">
        <w:t>letters that</w:t>
      </w:r>
      <w:r w:rsidRPr="00621FBC">
        <w:t xml:space="preserve"> get smaller as you read down the chart.</w:t>
      </w:r>
      <w:r w:rsidR="00C47B8C">
        <w:t xml:space="preserve"> </w:t>
      </w:r>
      <w:r>
        <w:t>On the Snellen scale, standard</w:t>
      </w:r>
      <w:r w:rsidR="005D62B3">
        <w:t xml:space="preserve"> visual acuity is </w:t>
      </w:r>
      <w:r>
        <w:t xml:space="preserve">6 / 6. </w:t>
      </w:r>
      <w:r w:rsidRPr="00621FBC">
        <w:t>If you can only rea</w:t>
      </w:r>
      <w:r w:rsidR="005D62B3">
        <w:t>d the top line of the chart</w:t>
      </w:r>
      <w:r w:rsidRPr="00621FBC">
        <w:t xml:space="preserve"> this </w:t>
      </w:r>
      <w:r w:rsidR="005D62B3">
        <w:t>is</w:t>
      </w:r>
      <w:r w:rsidRPr="00621FBC">
        <w:t xml:space="preserve"> 6/60</w:t>
      </w:r>
      <w:r w:rsidR="005D62B3">
        <w:t xml:space="preserve"> visual acuity</w:t>
      </w:r>
      <w:r w:rsidRPr="00621FBC">
        <w:t>. This means you can see at 6 metres what someone with standard visio</w:t>
      </w:r>
      <w:r>
        <w:t xml:space="preserve">n could see from 60 metres away. </w:t>
      </w:r>
      <w:r w:rsidR="002654CA" w:rsidRPr="003E4D20">
        <w:t>Generally,</w:t>
      </w:r>
      <w:r w:rsidRPr="003E4D20">
        <w:t xml:space="preserve"> the larger the second number is, the </w:t>
      </w:r>
      <w:r>
        <w:t>more reduced</w:t>
      </w:r>
      <w:r w:rsidR="00F102C6">
        <w:t xml:space="preserve"> </w:t>
      </w:r>
      <w:r w:rsidR="00BA5F8D">
        <w:t>the sight</w:t>
      </w:r>
      <w:r w:rsidR="00F102C6">
        <w:t>.</w:t>
      </w:r>
    </w:p>
    <w:p w:rsidR="0077665A" w:rsidRPr="00B03512" w:rsidRDefault="0077665A" w:rsidP="00BA5F8D">
      <w:pPr>
        <w:pStyle w:val="Heading5"/>
      </w:pPr>
      <w:r w:rsidRPr="00B03512">
        <w:t>Levels of Vision</w:t>
      </w:r>
    </w:p>
    <w:p w:rsidR="0077665A" w:rsidRPr="00313F67" w:rsidRDefault="0077665A" w:rsidP="0077665A">
      <w:pPr>
        <w:spacing w:after="0" w:line="360" w:lineRule="auto"/>
      </w:pPr>
      <w:r w:rsidRPr="00313F67">
        <w:t>The severity of a vision impairmen</w:t>
      </w:r>
      <w:r>
        <w:t xml:space="preserve">t can be categorised into mild, </w:t>
      </w:r>
      <w:r w:rsidRPr="00313F67">
        <w:t xml:space="preserve">moderate, </w:t>
      </w:r>
      <w:r w:rsidR="002654CA" w:rsidRPr="00313F67">
        <w:t>severe,</w:t>
      </w:r>
      <w:r w:rsidRPr="00313F67">
        <w:t xml:space="preserve"> or profound depending on the level of vision.</w:t>
      </w:r>
    </w:p>
    <w:p w:rsidR="0077665A" w:rsidRPr="00313F67" w:rsidRDefault="0077665A" w:rsidP="009B6447">
      <w:pPr>
        <w:pStyle w:val="ListParagraph"/>
        <w:numPr>
          <w:ilvl w:val="0"/>
          <w:numId w:val="2"/>
        </w:numPr>
        <w:spacing w:after="0" w:line="360" w:lineRule="auto"/>
        <w:ind w:left="709" w:hanging="142"/>
        <w:rPr>
          <w:lang w:eastAsia="en-GB"/>
        </w:rPr>
      </w:pPr>
      <w:r w:rsidRPr="00313F67">
        <w:rPr>
          <w:lang w:eastAsia="en-GB"/>
        </w:rPr>
        <w:t>Near Normal – presenting within the 6/7.5 – 6/12 visual acuity range</w:t>
      </w:r>
    </w:p>
    <w:p w:rsidR="0077665A" w:rsidRPr="00313F67" w:rsidRDefault="0077665A" w:rsidP="00F102C6">
      <w:pPr>
        <w:pStyle w:val="ListParagraph"/>
        <w:numPr>
          <w:ilvl w:val="0"/>
          <w:numId w:val="2"/>
        </w:numPr>
        <w:spacing w:after="0" w:line="360" w:lineRule="auto"/>
        <w:ind w:left="0" w:firstLine="426"/>
        <w:rPr>
          <w:lang w:eastAsia="en-GB"/>
        </w:rPr>
      </w:pPr>
      <w:r w:rsidRPr="00313F67">
        <w:rPr>
          <w:lang w:eastAsia="en-GB"/>
        </w:rPr>
        <w:t>Mild – presentin</w:t>
      </w:r>
      <w:r w:rsidR="001F178E">
        <w:rPr>
          <w:lang w:eastAsia="en-GB"/>
        </w:rPr>
        <w:t>g visual acuity worse than 6/12</w:t>
      </w:r>
    </w:p>
    <w:p w:rsidR="0077665A" w:rsidRPr="00313F67" w:rsidRDefault="0077665A" w:rsidP="00F102C6">
      <w:pPr>
        <w:pStyle w:val="ListParagraph"/>
        <w:numPr>
          <w:ilvl w:val="0"/>
          <w:numId w:val="2"/>
        </w:numPr>
        <w:spacing w:after="0" w:line="360" w:lineRule="auto"/>
        <w:ind w:left="0" w:firstLine="426"/>
        <w:rPr>
          <w:lang w:eastAsia="en-GB"/>
        </w:rPr>
      </w:pPr>
      <w:r w:rsidRPr="00313F67">
        <w:rPr>
          <w:lang w:eastAsia="en-GB"/>
        </w:rPr>
        <w:t>Moderate – presenting visual acuity worse than 6/18</w:t>
      </w:r>
    </w:p>
    <w:p w:rsidR="0077665A" w:rsidRPr="00761E32" w:rsidRDefault="0077665A" w:rsidP="00F102C6">
      <w:pPr>
        <w:pStyle w:val="ListParagraph"/>
        <w:numPr>
          <w:ilvl w:val="0"/>
          <w:numId w:val="2"/>
        </w:numPr>
        <w:spacing w:after="0" w:line="360" w:lineRule="auto"/>
        <w:ind w:left="0" w:firstLine="426"/>
        <w:rPr>
          <w:lang w:eastAsia="en-GB"/>
        </w:rPr>
      </w:pPr>
      <w:r w:rsidRPr="00761E32">
        <w:rPr>
          <w:lang w:eastAsia="en-GB"/>
        </w:rPr>
        <w:t>Severe – presenting visual acuity worse than 6/60</w:t>
      </w:r>
    </w:p>
    <w:p w:rsidR="0077665A" w:rsidRPr="00761E32" w:rsidRDefault="001F178E" w:rsidP="00F102C6">
      <w:pPr>
        <w:pStyle w:val="ListParagraph"/>
        <w:numPr>
          <w:ilvl w:val="0"/>
          <w:numId w:val="2"/>
        </w:numPr>
        <w:spacing w:after="0" w:line="360" w:lineRule="auto"/>
        <w:ind w:left="0" w:firstLine="426"/>
        <w:rPr>
          <w:lang w:eastAsia="en-GB"/>
        </w:rPr>
      </w:pPr>
      <w:r>
        <w:rPr>
          <w:lang w:eastAsia="en-GB"/>
        </w:rPr>
        <w:t xml:space="preserve">Profound </w:t>
      </w:r>
      <w:r w:rsidR="0077665A" w:rsidRPr="00761E32">
        <w:rPr>
          <w:lang w:eastAsia="en-GB"/>
        </w:rPr>
        <w:t>– presenting visual acuity worse than 3/60</w:t>
      </w:r>
    </w:p>
    <w:p w:rsidR="0077665A" w:rsidRPr="00B03512" w:rsidRDefault="0077665A" w:rsidP="00BA5F8D">
      <w:pPr>
        <w:pStyle w:val="Heading5"/>
      </w:pPr>
      <w:r w:rsidRPr="00B03512">
        <w:t>Printable examples</w:t>
      </w:r>
    </w:p>
    <w:p w:rsidR="0077665A" w:rsidRDefault="0077665A" w:rsidP="0077665A">
      <w:pPr>
        <w:spacing w:after="0" w:line="360" w:lineRule="auto"/>
      </w:pPr>
      <w:r>
        <w:t>The images in the</w:t>
      </w:r>
      <w:r w:rsidRPr="009E3683">
        <w:t xml:space="preserve"> pages </w:t>
      </w:r>
      <w:r w:rsidR="00F102C6">
        <w:t>linked</w:t>
      </w:r>
      <w:r>
        <w:t xml:space="preserve"> below </w:t>
      </w:r>
      <w:r w:rsidRPr="009E3683">
        <w:t>give an indication of the detail and size of image</w:t>
      </w:r>
      <w:r>
        <w:t>s</w:t>
      </w:r>
      <w:r w:rsidRPr="009E3683">
        <w:t xml:space="preserve"> a child with a given visual acuity should be able to see</w:t>
      </w:r>
      <w:r>
        <w:t xml:space="preserve"> easily from a distance of 0.3m (30cm), 0.5m, 1m, 2m and 3m. They also show the smallest/most detailed images a child with visual acuity at that level should be able to see.at the same distances.</w:t>
      </w:r>
    </w:p>
    <w:p w:rsidR="0077665A" w:rsidRPr="003D09A3" w:rsidRDefault="0077665A" w:rsidP="0077665A">
      <w:pPr>
        <w:spacing w:after="0" w:line="360" w:lineRule="auto"/>
        <w:rPr>
          <w:rStyle w:val="Hyperlink"/>
          <w:szCs w:val="28"/>
        </w:rPr>
      </w:pPr>
      <w:hyperlink r:id="rId10" w:history="1">
        <w:r w:rsidRPr="003D09A3">
          <w:rPr>
            <w:rStyle w:val="Hyperlink"/>
            <w:szCs w:val="28"/>
          </w:rPr>
          <w:t>Pictures 6/12:</w:t>
        </w:r>
      </w:hyperlink>
    </w:p>
    <w:p w:rsidR="0077665A" w:rsidRPr="003D09A3" w:rsidRDefault="00F102C6" w:rsidP="0077665A">
      <w:pPr>
        <w:spacing w:after="0" w:line="360" w:lineRule="auto"/>
        <w:rPr>
          <w:szCs w:val="28"/>
        </w:rPr>
      </w:pPr>
      <w:hyperlink r:id="rId11" w:history="1">
        <w:r>
          <w:rPr>
            <w:rStyle w:val="Hyperlink"/>
            <w:szCs w:val="28"/>
          </w:rPr>
          <w:t xml:space="preserve">Pictures </w:t>
        </w:r>
        <w:r w:rsidR="0077665A" w:rsidRPr="003D09A3">
          <w:rPr>
            <w:rStyle w:val="Hyperlink"/>
            <w:szCs w:val="28"/>
          </w:rPr>
          <w:t>6/18:</w:t>
        </w:r>
      </w:hyperlink>
    </w:p>
    <w:p w:rsidR="00BA5F8D" w:rsidRDefault="00F102C6" w:rsidP="00BA5F8D">
      <w:pPr>
        <w:pStyle w:val="Default"/>
        <w:spacing w:line="360" w:lineRule="auto"/>
        <w:rPr>
          <w:rStyle w:val="Hyperlink"/>
          <w:rFonts w:cstheme="minorHAnsi"/>
          <w:sz w:val="28"/>
          <w:szCs w:val="28"/>
        </w:rPr>
      </w:pPr>
      <w:hyperlink r:id="rId12" w:history="1">
        <w:r>
          <w:rPr>
            <w:rStyle w:val="Hyperlink"/>
            <w:rFonts w:cstheme="minorHAnsi"/>
            <w:sz w:val="28"/>
            <w:szCs w:val="28"/>
          </w:rPr>
          <w:t xml:space="preserve">Letters </w:t>
        </w:r>
        <w:r w:rsidR="0077665A" w:rsidRPr="003D09A3">
          <w:rPr>
            <w:rStyle w:val="Hyperlink"/>
            <w:rFonts w:cstheme="minorHAnsi"/>
            <w:sz w:val="28"/>
            <w:szCs w:val="28"/>
          </w:rPr>
          <w:t>6/18</w:t>
        </w:r>
      </w:hyperlink>
    </w:p>
    <w:p w:rsidR="00BA5F8D" w:rsidRDefault="00BA5F8D" w:rsidP="00BA5F8D">
      <w:pPr>
        <w:pStyle w:val="Default"/>
        <w:spacing w:line="360" w:lineRule="auto"/>
        <w:rPr>
          <w:rStyle w:val="Hyperlink"/>
          <w:rFonts w:cstheme="minorHAnsi"/>
          <w:sz w:val="28"/>
          <w:szCs w:val="28"/>
        </w:rPr>
      </w:pPr>
    </w:p>
    <w:p w:rsidR="00BA5F8D" w:rsidRDefault="0077665A" w:rsidP="00BA5F8D">
      <w:pPr>
        <w:pStyle w:val="Heading5"/>
      </w:pPr>
      <w:r w:rsidRPr="00B03512">
        <w:t xml:space="preserve">Strategies to support </w:t>
      </w:r>
      <w:r w:rsidR="00F102C6">
        <w:t>C&amp;YP with</w:t>
      </w:r>
      <w:r>
        <w:t xml:space="preserve"> m</w:t>
      </w:r>
      <w:r w:rsidR="00C47B8C">
        <w:t xml:space="preserve">ild </w:t>
      </w:r>
      <w:r>
        <w:t>v</w:t>
      </w:r>
      <w:r w:rsidRPr="00B03512">
        <w:t xml:space="preserve">ision </w:t>
      </w:r>
      <w:r>
        <w:t>i</w:t>
      </w:r>
      <w:r w:rsidRPr="00B03512">
        <w:t>mpairment</w:t>
      </w:r>
    </w:p>
    <w:p w:rsidR="00C77EE5" w:rsidRPr="00C77EE5" w:rsidRDefault="00C77EE5" w:rsidP="00C77EE5"/>
    <w:p w:rsidR="00576C8D" w:rsidRDefault="00BA5F8D" w:rsidP="009B6447">
      <w:pPr>
        <w:spacing w:line="360" w:lineRule="auto"/>
      </w:pPr>
      <w:r w:rsidRPr="00BA5F8D">
        <w:t>The needs of children and young people with a mild visual</w:t>
      </w:r>
      <w:r>
        <w:t xml:space="preserve"> impairment can be met through q</w:t>
      </w:r>
      <w:r w:rsidRPr="00BA5F8D">
        <w:t>uality</w:t>
      </w:r>
      <w:r w:rsidR="00C77EE5">
        <w:t>, inclusive t</w:t>
      </w:r>
      <w:r w:rsidRPr="00BA5F8D">
        <w:t>eaching and simple st</w:t>
      </w:r>
      <w:r w:rsidR="00576C8D">
        <w:t>rategies used in the classroom.</w:t>
      </w:r>
    </w:p>
    <w:p w:rsidR="00576C8D" w:rsidRDefault="00576C8D" w:rsidP="009B6447">
      <w:pPr>
        <w:spacing w:line="360" w:lineRule="auto"/>
      </w:pPr>
      <w:r>
        <w:t xml:space="preserve">If the child has mild vision impairment and </w:t>
      </w:r>
      <w:r w:rsidR="002654CA">
        <w:t>nystagmus,</w:t>
      </w:r>
      <w:r>
        <w:t xml:space="preserve"> please also refer to our nystagmus advice sheet.</w:t>
      </w:r>
    </w:p>
    <w:p w:rsidR="00576C8D" w:rsidRDefault="00576C8D" w:rsidP="009B6447">
      <w:pPr>
        <w:spacing w:line="360" w:lineRule="auto"/>
      </w:pPr>
      <w:r>
        <w:t xml:space="preserve">Remember to ensure that information about the child’s vision </w:t>
      </w:r>
      <w:r w:rsidR="00F558D8">
        <w:t>is</w:t>
      </w:r>
      <w:r>
        <w:t xml:space="preserve"> shared with new teachers before the beginning of each academic year.</w:t>
      </w:r>
    </w:p>
    <w:p w:rsidR="00C77EE5" w:rsidRDefault="00BA5F8D" w:rsidP="009B6447">
      <w:pPr>
        <w:spacing w:line="360" w:lineRule="auto"/>
      </w:pPr>
      <w:r w:rsidRPr="00BA5F8D">
        <w:t xml:space="preserve">In the majority of </w:t>
      </w:r>
      <w:r w:rsidR="00C77EE5" w:rsidRPr="00BA5F8D">
        <w:t>cases,</w:t>
      </w:r>
      <w:r w:rsidRPr="00BA5F8D">
        <w:t xml:space="preserve"> </w:t>
      </w:r>
      <w:r w:rsidR="002654CA" w:rsidRPr="00BA5F8D">
        <w:t>children,</w:t>
      </w:r>
      <w:r w:rsidRPr="00BA5F8D">
        <w:t xml:space="preserve"> </w:t>
      </w:r>
      <w:r w:rsidR="001724C0" w:rsidRPr="00BA5F8D">
        <w:t xml:space="preserve">and young people </w:t>
      </w:r>
      <w:r w:rsidR="00885E25">
        <w:t xml:space="preserve">with near normal </w:t>
      </w:r>
      <w:r w:rsidR="001724C0">
        <w:t xml:space="preserve">and/or mild vision impairment </w:t>
      </w:r>
      <w:r w:rsidRPr="00BA5F8D">
        <w:t xml:space="preserve">do not require specialist interventions from a Qualified Teacher for </w:t>
      </w:r>
      <w:r w:rsidR="00576C8D">
        <w:t>Vision Impairment (QTVI).</w:t>
      </w:r>
    </w:p>
    <w:p w:rsidR="001F178E" w:rsidRDefault="00576C8D" w:rsidP="00576C8D">
      <w:pPr>
        <w:spacing w:line="360" w:lineRule="auto"/>
      </w:pPr>
      <w:r>
        <w:t>If glasses are worn</w:t>
      </w:r>
      <w:r w:rsidR="00F974FF">
        <w:t>,</w:t>
      </w:r>
      <w:r>
        <w:t xml:space="preserve"> they should be worn all the time including at playtimes and for P.E.</w:t>
      </w:r>
    </w:p>
    <w:p w:rsidR="00576C8D" w:rsidRDefault="00576C8D" w:rsidP="009B6447">
      <w:pPr>
        <w:spacing w:line="360" w:lineRule="auto"/>
      </w:pPr>
      <w:r>
        <w:t>Glasses should be clean and children should be encouraged to take responsibility for cleaning them frequently throughout the day.</w:t>
      </w:r>
    </w:p>
    <w:p w:rsidR="00C77EE5" w:rsidRPr="00C77EE5" w:rsidRDefault="008368F0" w:rsidP="00C77EE5">
      <w:pPr>
        <w:pStyle w:val="Heading6"/>
        <w:rPr>
          <w:rStyle w:val="Heading5Char"/>
          <w:rFonts w:eastAsiaTheme="minorHAnsi" w:cs="Arial"/>
          <w:b w:val="0"/>
          <w:sz w:val="28"/>
          <w:lang w:val="en" w:eastAsia="en-GB"/>
        </w:rPr>
      </w:pPr>
      <w:r>
        <w:rPr>
          <w:rStyle w:val="Heading7Char"/>
        </w:rPr>
        <w:t>Classroom environment</w:t>
      </w:r>
    </w:p>
    <w:p w:rsidR="0077665A" w:rsidRPr="00ED2884" w:rsidRDefault="0077665A" w:rsidP="00C77EE5">
      <w:pPr>
        <w:pStyle w:val="ListParagraph"/>
        <w:numPr>
          <w:ilvl w:val="0"/>
          <w:numId w:val="1"/>
        </w:numPr>
        <w:spacing w:after="0" w:line="360" w:lineRule="auto"/>
        <w:ind w:left="0" w:hanging="357"/>
        <w:contextualSpacing w:val="0"/>
        <w:rPr>
          <w:lang w:val="en" w:eastAsia="en-GB"/>
        </w:rPr>
      </w:pPr>
      <w:r>
        <w:t>Lighting in both corridors and classrooms is</w:t>
      </w:r>
      <w:r w:rsidRPr="009661AF">
        <w:t xml:space="preserve"> </w:t>
      </w:r>
      <w:r>
        <w:t>important.</w:t>
      </w:r>
      <w:r w:rsidRPr="00E1599F">
        <w:t xml:space="preserve"> Good lightin</w:t>
      </w:r>
      <w:r w:rsidR="00C77EE5">
        <w:t>g free from glare is important</w:t>
      </w:r>
    </w:p>
    <w:p w:rsidR="0077665A" w:rsidRPr="00C77EE5" w:rsidRDefault="0077665A" w:rsidP="00C77EE5">
      <w:pPr>
        <w:pStyle w:val="ListParagraph"/>
        <w:numPr>
          <w:ilvl w:val="0"/>
          <w:numId w:val="1"/>
        </w:numPr>
        <w:spacing w:after="0" w:line="360" w:lineRule="auto"/>
        <w:ind w:left="0" w:hanging="357"/>
        <w:contextualSpacing w:val="0"/>
      </w:pPr>
      <w:r w:rsidRPr="00C77EE5">
        <w:t xml:space="preserve">Staff should position themselves so that the student is not looking towards a bright light source. For example, teachers should not stand in front of a window when addressing the class, as this may result in them </w:t>
      </w:r>
      <w:r w:rsidR="00F102C6" w:rsidRPr="00C77EE5">
        <w:t>appearing as a silhouette</w:t>
      </w:r>
      <w:r w:rsidR="003C544B">
        <w:t>,</w:t>
      </w:r>
      <w:r w:rsidRPr="00C77EE5">
        <w:t xml:space="preserve"> but also means that the student is looking towards </w:t>
      </w:r>
      <w:r w:rsidR="00F102C6" w:rsidRPr="00C77EE5">
        <w:t>light that</w:t>
      </w:r>
      <w:r w:rsidRPr="00C77EE5">
        <w:t xml:space="preserve"> may cause them discomfort an</w:t>
      </w:r>
      <w:r w:rsidR="00C77EE5">
        <w:t>d further reduce their vision</w:t>
      </w:r>
    </w:p>
    <w:p w:rsidR="0077665A" w:rsidRPr="00C77EE5" w:rsidRDefault="00F102C6" w:rsidP="00C77EE5">
      <w:pPr>
        <w:pStyle w:val="ListParagraph"/>
        <w:numPr>
          <w:ilvl w:val="0"/>
          <w:numId w:val="1"/>
        </w:numPr>
        <w:spacing w:after="0" w:line="360" w:lineRule="auto"/>
        <w:ind w:left="0" w:hanging="357"/>
        <w:contextualSpacing w:val="0"/>
      </w:pPr>
      <w:r>
        <w:t>Position t</w:t>
      </w:r>
      <w:r w:rsidR="0077665A" w:rsidRPr="00E1599F">
        <w:t xml:space="preserve">he student away from direct sunlight with either their back to the windows or seated at the opposite side of the classroom from the windows to avoid glare. </w:t>
      </w:r>
      <w:r>
        <w:t>Use b</w:t>
      </w:r>
      <w:r w:rsidR="0077665A" w:rsidRPr="00E1599F">
        <w:t xml:space="preserve">linds or curtains </w:t>
      </w:r>
      <w:r w:rsidR="00C77EE5">
        <w:t>when necessary</w:t>
      </w:r>
    </w:p>
    <w:p w:rsidR="00C77EE5" w:rsidRDefault="0077665A" w:rsidP="00C77EE5">
      <w:pPr>
        <w:pStyle w:val="ListParagraph"/>
        <w:numPr>
          <w:ilvl w:val="0"/>
          <w:numId w:val="1"/>
        </w:numPr>
        <w:spacing w:after="0" w:line="360" w:lineRule="auto"/>
        <w:ind w:left="0" w:hanging="357"/>
        <w:contextualSpacing w:val="0"/>
      </w:pPr>
      <w:r w:rsidRPr="009661AF">
        <w:t xml:space="preserve">School corridors and passageways in classrooms should </w:t>
      </w:r>
      <w:r>
        <w:t>remain free of clutter with coats and bags lifted</w:t>
      </w:r>
      <w:r w:rsidRPr="009661AF">
        <w:t xml:space="preserve"> </w:t>
      </w:r>
      <w:r>
        <w:t xml:space="preserve">from the </w:t>
      </w:r>
      <w:r w:rsidRPr="009661AF">
        <w:t>floor</w:t>
      </w:r>
      <w:r w:rsidR="00C77EE5">
        <w:t>.</w:t>
      </w:r>
    </w:p>
    <w:p w:rsidR="00C77EE5" w:rsidRPr="00C77EE5" w:rsidRDefault="0077665A" w:rsidP="008368F0">
      <w:pPr>
        <w:pStyle w:val="Heading6"/>
      </w:pPr>
      <w:r w:rsidRPr="00BA5F8D">
        <w:rPr>
          <w:rStyle w:val="Heading7Char"/>
        </w:rPr>
        <w:t>Seating position</w:t>
      </w:r>
      <w:r w:rsidR="00C77EE5">
        <w:t>:</w:t>
      </w:r>
    </w:p>
    <w:p w:rsidR="00F720D0" w:rsidRDefault="0077665A" w:rsidP="00F720D0">
      <w:pPr>
        <w:pStyle w:val="ListParagraph"/>
        <w:numPr>
          <w:ilvl w:val="0"/>
          <w:numId w:val="1"/>
        </w:numPr>
        <w:spacing w:after="0" w:line="360" w:lineRule="auto"/>
        <w:ind w:left="0"/>
        <w:contextualSpacing w:val="0"/>
      </w:pPr>
      <w:r w:rsidRPr="00B63A4C">
        <w:t xml:space="preserve">Positioning of the student in class is important to enable them to maximise non-verbal cues, gestures, facial </w:t>
      </w:r>
      <w:r w:rsidR="002654CA" w:rsidRPr="00B63A4C">
        <w:t>expressions,</w:t>
      </w:r>
      <w:r w:rsidRPr="00B63A4C">
        <w:t xml:space="preserve"> and</w:t>
      </w:r>
      <w:r w:rsidR="009B6447">
        <w:t xml:space="preserve"> demonstrations by the teacher</w:t>
      </w:r>
    </w:p>
    <w:p w:rsidR="00F720D0" w:rsidRDefault="00F720D0" w:rsidP="00F720D0">
      <w:pPr>
        <w:pStyle w:val="ListParagraph"/>
        <w:numPr>
          <w:ilvl w:val="0"/>
          <w:numId w:val="1"/>
        </w:numPr>
        <w:spacing w:after="0" w:line="360" w:lineRule="auto"/>
        <w:ind w:left="0"/>
        <w:contextualSpacing w:val="0"/>
      </w:pPr>
      <w:r w:rsidRPr="00F720D0">
        <w:t xml:space="preserve">Ensure </w:t>
      </w:r>
      <w:r w:rsidR="002347C3">
        <w:t xml:space="preserve">the </w:t>
      </w:r>
      <w:r w:rsidRPr="00F720D0">
        <w:t>child with VI sits close to the teachi</w:t>
      </w:r>
      <w:r w:rsidR="009B6447">
        <w:t>ng focus</w:t>
      </w:r>
    </w:p>
    <w:p w:rsidR="008368F0" w:rsidRDefault="00F720D0" w:rsidP="008368F0">
      <w:pPr>
        <w:pStyle w:val="ListParagraph"/>
        <w:numPr>
          <w:ilvl w:val="0"/>
          <w:numId w:val="1"/>
        </w:numPr>
        <w:spacing w:after="0" w:line="360" w:lineRule="auto"/>
        <w:ind w:left="0"/>
        <w:contextualSpacing w:val="0"/>
      </w:pPr>
      <w:r w:rsidRPr="00F720D0">
        <w:t xml:space="preserve">When well positioned </w:t>
      </w:r>
      <w:r w:rsidR="008B7774">
        <w:t xml:space="preserve">the pupil </w:t>
      </w:r>
      <w:r w:rsidRPr="00F720D0">
        <w:t>will be able to access normal materials in class</w:t>
      </w:r>
    </w:p>
    <w:p w:rsidR="008368F0" w:rsidRDefault="0077665A" w:rsidP="008368F0">
      <w:pPr>
        <w:pStyle w:val="ListParagraph"/>
        <w:numPr>
          <w:ilvl w:val="0"/>
          <w:numId w:val="1"/>
        </w:numPr>
        <w:spacing w:after="0" w:line="360" w:lineRule="auto"/>
        <w:ind w:left="0"/>
        <w:contextualSpacing w:val="0"/>
      </w:pPr>
      <w:r w:rsidRPr="00B63A4C">
        <w:t xml:space="preserve">C&amp;YP with </w:t>
      </w:r>
      <w:r w:rsidRPr="008368F0">
        <w:rPr>
          <w:b/>
        </w:rPr>
        <w:t>near normal vision</w:t>
      </w:r>
      <w:r w:rsidRPr="00B63A4C">
        <w:t xml:space="preserve"> 6 /7.5 – 6/12 will benefit from having a seat reasonably near the front of the classroom and are unlikely to experience </w:t>
      </w:r>
      <w:r w:rsidR="00C77EE5">
        <w:t>visual access issues</w:t>
      </w:r>
      <w:r w:rsidR="009B6447">
        <w:t xml:space="preserve"> in school</w:t>
      </w:r>
    </w:p>
    <w:p w:rsidR="008368F0" w:rsidRDefault="0077665A" w:rsidP="008368F0">
      <w:pPr>
        <w:pStyle w:val="ListParagraph"/>
        <w:numPr>
          <w:ilvl w:val="0"/>
          <w:numId w:val="1"/>
        </w:numPr>
        <w:spacing w:after="0" w:line="360" w:lineRule="auto"/>
        <w:ind w:left="0"/>
        <w:contextualSpacing w:val="0"/>
      </w:pPr>
      <w:r w:rsidRPr="00B63A4C">
        <w:t>A student with 6/12 vision will need to be half as close to the visual information in order to see the same level of detail as someone with 6/6 ‘</w:t>
      </w:r>
      <w:r w:rsidR="00F558D8" w:rsidRPr="00B63A4C">
        <w:t>standard</w:t>
      </w:r>
      <w:r w:rsidR="00F558D8">
        <w:t xml:space="preserve">’ </w:t>
      </w:r>
      <w:r w:rsidR="00F558D8" w:rsidRPr="00B63A4C">
        <w:t>vision</w:t>
      </w:r>
      <w:r w:rsidRPr="00B63A4C">
        <w:t>. A student with 6/12 vision</w:t>
      </w:r>
      <w:r w:rsidR="00F505F9">
        <w:t xml:space="preserve"> will need to be seated within 3</w:t>
      </w:r>
      <w:r w:rsidRPr="00B63A4C">
        <w:t xml:space="preserve"> metres of the board to see the same level of detail as someone with 6/6 ‘normal’ vision sees from the back of the classroom </w:t>
      </w:r>
      <w:r w:rsidR="009B6447">
        <w:t>at 6 metres from the board</w:t>
      </w:r>
    </w:p>
    <w:p w:rsidR="00576C8D" w:rsidRDefault="00F102C6" w:rsidP="008368F0">
      <w:pPr>
        <w:pStyle w:val="ListParagraph"/>
        <w:numPr>
          <w:ilvl w:val="0"/>
          <w:numId w:val="1"/>
        </w:numPr>
        <w:spacing w:after="0" w:line="360" w:lineRule="auto"/>
        <w:ind w:left="0"/>
        <w:contextualSpacing w:val="0"/>
      </w:pPr>
      <w:r>
        <w:t xml:space="preserve">Provide </w:t>
      </w:r>
      <w:r w:rsidR="0077665A" w:rsidRPr="00B63A4C">
        <w:t xml:space="preserve">C&amp;YP with </w:t>
      </w:r>
      <w:r w:rsidR="0077665A" w:rsidRPr="008368F0">
        <w:rPr>
          <w:b/>
        </w:rPr>
        <w:t>mild vision impairment</w:t>
      </w:r>
      <w:r w:rsidR="0077665A" w:rsidRPr="00B63A4C">
        <w:t xml:space="preserve"> </w:t>
      </w:r>
      <w:r>
        <w:t>(</w:t>
      </w:r>
      <w:r w:rsidR="0077665A" w:rsidRPr="00B63A4C">
        <w:t>within the</w:t>
      </w:r>
      <w:r>
        <w:t xml:space="preserve"> visual acuity range 6/15 – 6/18)</w:t>
      </w:r>
      <w:r w:rsidR="0077665A" w:rsidRPr="00B63A4C">
        <w:t xml:space="preserve"> with a preferential seating position within the classroom. A student with 6/18 vision will need to be seated within 2 metres of the board to see the same level of detail as someone with 6/6 ‘normal’ vision sees from the back of the classro</w:t>
      </w:r>
      <w:r w:rsidR="00126371">
        <w:t>om at 6 metres from the board.</w:t>
      </w:r>
    </w:p>
    <w:p w:rsidR="00126371" w:rsidRDefault="00126371" w:rsidP="008368F0">
      <w:pPr>
        <w:pStyle w:val="Heading7"/>
      </w:pPr>
      <w:r>
        <w:t>ICT</w:t>
      </w:r>
    </w:p>
    <w:p w:rsidR="00126371" w:rsidRDefault="00126371" w:rsidP="00126371">
      <w:pPr>
        <w:pStyle w:val="ListParagraph"/>
        <w:numPr>
          <w:ilvl w:val="0"/>
          <w:numId w:val="1"/>
        </w:numPr>
        <w:spacing w:after="0" w:line="360" w:lineRule="auto"/>
        <w:ind w:left="0"/>
        <w:contextualSpacing w:val="0"/>
      </w:pPr>
      <w:r>
        <w:t>Ensure there is good contrast on whiteboard or consider seating the child at a separate monitor</w:t>
      </w:r>
    </w:p>
    <w:p w:rsidR="00126371" w:rsidRPr="00126371" w:rsidRDefault="00126371" w:rsidP="00126371">
      <w:pPr>
        <w:pStyle w:val="ListParagraph"/>
        <w:numPr>
          <w:ilvl w:val="0"/>
          <w:numId w:val="1"/>
        </w:numPr>
        <w:spacing w:after="0" w:line="360" w:lineRule="auto"/>
        <w:ind w:left="0"/>
        <w:contextualSpacing w:val="0"/>
      </w:pPr>
      <w:r>
        <w:t>Ensure optimum positioning for computer screen. Check seat height</w:t>
      </w:r>
      <w:r w:rsidR="00F558D8">
        <w:t xml:space="preserve"> </w:t>
      </w:r>
      <w:r>
        <w:t>suits the child for screen height. Move monitor closer to child. Make use of accessibility options, if appropriat</w:t>
      </w:r>
      <w:r w:rsidR="001F178E">
        <w:t>e</w:t>
      </w:r>
    </w:p>
    <w:p w:rsidR="00126371" w:rsidRPr="009B6447" w:rsidRDefault="0077665A" w:rsidP="00C77EE5">
      <w:pPr>
        <w:pStyle w:val="ListParagraph"/>
        <w:numPr>
          <w:ilvl w:val="0"/>
          <w:numId w:val="1"/>
        </w:numPr>
        <w:spacing w:after="0" w:line="360" w:lineRule="auto"/>
        <w:ind w:left="0"/>
        <w:contextualSpacing w:val="0"/>
      </w:pPr>
      <w:r w:rsidRPr="00B63A4C">
        <w:t xml:space="preserve">C&amp;YP with vision within these ranges, and without other disabilities, </w:t>
      </w:r>
      <w:r w:rsidR="00F558D8" w:rsidRPr="00B63A4C">
        <w:t>will generally</w:t>
      </w:r>
      <w:r w:rsidRPr="00B63A4C">
        <w:t xml:space="preserve"> be able to be able to access the curriculum without th</w:t>
      </w:r>
      <w:r w:rsidR="001F178E">
        <w:t>e need for assistive technology</w:t>
      </w:r>
    </w:p>
    <w:p w:rsidR="00C77EE5" w:rsidRPr="00C77EE5" w:rsidRDefault="0077665A" w:rsidP="00C77EE5">
      <w:pPr>
        <w:pStyle w:val="Heading6"/>
        <w:rPr>
          <w:lang w:val="en-US"/>
        </w:rPr>
      </w:pPr>
      <w:r w:rsidRPr="00BA5F8D">
        <w:rPr>
          <w:rStyle w:val="Heading7Char"/>
        </w:rPr>
        <w:t>Printed Materials</w:t>
      </w:r>
      <w:r w:rsidR="008368F0">
        <w:rPr>
          <w:rStyle w:val="Heading7Char"/>
        </w:rPr>
        <w:t>/ Boards</w:t>
      </w:r>
    </w:p>
    <w:p w:rsidR="00126371" w:rsidRPr="008368F0" w:rsidRDefault="00C47B8C" w:rsidP="008368F0">
      <w:pPr>
        <w:pStyle w:val="ListParagraph"/>
        <w:numPr>
          <w:ilvl w:val="0"/>
          <w:numId w:val="1"/>
        </w:numPr>
        <w:spacing w:after="0" w:line="360" w:lineRule="auto"/>
        <w:ind w:left="0"/>
        <w:contextualSpacing w:val="0"/>
        <w:rPr>
          <w:b/>
          <w:lang w:val="en-US"/>
        </w:rPr>
      </w:pPr>
      <w:r>
        <w:t>Provide g</w:t>
      </w:r>
      <w:r w:rsidRPr="001F4D41">
        <w:t>ood contrast</w:t>
      </w:r>
      <w:r>
        <w:t>,</w:t>
      </w:r>
      <w:r w:rsidRPr="001F4D41">
        <w:t xml:space="preserve"> high quality print materials </w:t>
      </w:r>
      <w:r>
        <w:t>for all</w:t>
      </w:r>
      <w:r w:rsidR="008368F0">
        <w:t xml:space="preserve"> children</w:t>
      </w:r>
      <w:r w:rsidRPr="001F4D41">
        <w:t>.</w:t>
      </w:r>
      <w:r w:rsidR="008368F0">
        <w:rPr>
          <w:b/>
          <w:lang w:val="en-US"/>
        </w:rPr>
        <w:t xml:space="preserve"> </w:t>
      </w:r>
      <w:r w:rsidRPr="001F4D41">
        <w:t xml:space="preserve">Black print on white provides </w:t>
      </w:r>
      <w:r w:rsidR="008C0315">
        <w:t>highest</w:t>
      </w:r>
      <w:r w:rsidRPr="001F4D41">
        <w:t xml:space="preserve"> contrast. </w:t>
      </w:r>
      <w:r>
        <w:t>Note that, r</w:t>
      </w:r>
      <w:r w:rsidRPr="001F4D41">
        <w:t xml:space="preserve">epeated photocopying </w:t>
      </w:r>
      <w:r w:rsidR="008368F0">
        <w:t>can affect contrast and clarity</w:t>
      </w:r>
    </w:p>
    <w:p w:rsidR="008368F0" w:rsidRPr="008368F0" w:rsidRDefault="008368F0" w:rsidP="008368F0">
      <w:pPr>
        <w:pStyle w:val="ListParagraph"/>
        <w:numPr>
          <w:ilvl w:val="0"/>
          <w:numId w:val="1"/>
        </w:numPr>
        <w:spacing w:after="0" w:line="360" w:lineRule="auto"/>
        <w:ind w:left="0"/>
        <w:contextualSpacing w:val="0"/>
        <w:rPr>
          <w:b/>
          <w:lang w:val="en-US"/>
        </w:rPr>
      </w:pPr>
      <w:r>
        <w:t xml:space="preserve">Worksheets, </w:t>
      </w:r>
      <w:r w:rsidR="002654CA">
        <w:t>illustrations,</w:t>
      </w:r>
      <w:r>
        <w:t xml:space="preserve"> and diagrams are best for all when clear and uncluttered</w:t>
      </w:r>
    </w:p>
    <w:p w:rsidR="009B6447" w:rsidRPr="009B6447" w:rsidRDefault="00C47B8C" w:rsidP="0097700D">
      <w:pPr>
        <w:pStyle w:val="ListParagraph"/>
        <w:numPr>
          <w:ilvl w:val="0"/>
          <w:numId w:val="1"/>
        </w:numPr>
        <w:spacing w:after="0" w:line="360" w:lineRule="auto"/>
        <w:ind w:left="0"/>
        <w:contextualSpacing w:val="0"/>
        <w:rPr>
          <w:b/>
          <w:lang w:val="en-US"/>
        </w:rPr>
      </w:pPr>
      <w:r>
        <w:t>C&amp;YP with mild vision impairment are unlikely to require adapted / enlarged materials. They can typically read the regular print size used within schools at</w:t>
      </w:r>
      <w:r w:rsidR="008368F0">
        <w:t xml:space="preserve"> a comfortable reading distance</w:t>
      </w:r>
    </w:p>
    <w:p w:rsidR="00126371" w:rsidRPr="009B6447" w:rsidRDefault="00126371" w:rsidP="0097700D">
      <w:pPr>
        <w:pStyle w:val="ListParagraph"/>
        <w:numPr>
          <w:ilvl w:val="0"/>
          <w:numId w:val="1"/>
        </w:numPr>
        <w:spacing w:after="0" w:line="360" w:lineRule="auto"/>
        <w:ind w:left="0"/>
        <w:contextualSpacing w:val="0"/>
        <w:rPr>
          <w:b/>
          <w:lang w:val="en-US"/>
        </w:rPr>
      </w:pPr>
      <w:r>
        <w:t xml:space="preserve">Allow children to have the book at an angle and distance which is comfortable for </w:t>
      </w:r>
      <w:r w:rsidR="00F558D8">
        <w:t>them and try</w:t>
      </w:r>
      <w:r>
        <w:t xml:space="preserve"> to av</w:t>
      </w:r>
      <w:r w:rsidR="00F558D8">
        <w:t>o</w:t>
      </w:r>
      <w:r>
        <w:t>id asking them to share</w:t>
      </w:r>
    </w:p>
    <w:p w:rsidR="008368F0" w:rsidRDefault="008368F0" w:rsidP="008368F0">
      <w:pPr>
        <w:pStyle w:val="ListParagraph"/>
        <w:numPr>
          <w:ilvl w:val="0"/>
          <w:numId w:val="1"/>
        </w:numPr>
        <w:spacing w:after="0" w:line="360" w:lineRule="auto"/>
        <w:ind w:left="0" w:hanging="357"/>
        <w:contextualSpacing w:val="0"/>
      </w:pPr>
      <w:r>
        <w:t>Writing implements should give a clear dark line. 2B pencils or black felt tip pens are useful</w:t>
      </w:r>
    </w:p>
    <w:p w:rsidR="008368F0" w:rsidRPr="008368F0" w:rsidRDefault="008368F0" w:rsidP="008368F0">
      <w:pPr>
        <w:pStyle w:val="ListParagraph"/>
        <w:numPr>
          <w:ilvl w:val="0"/>
          <w:numId w:val="1"/>
        </w:numPr>
        <w:spacing w:after="0" w:line="360" w:lineRule="auto"/>
        <w:ind w:left="0" w:hanging="357"/>
        <w:contextualSpacing w:val="0"/>
      </w:pPr>
      <w:r>
        <w:t xml:space="preserve">Teacher comments should be written in black pen </w:t>
      </w:r>
      <w:r w:rsidR="009B6447">
        <w:t>and be legible and large enough for child to read</w:t>
      </w:r>
    </w:p>
    <w:p w:rsidR="008368F0" w:rsidRPr="001F178E" w:rsidRDefault="008368F0" w:rsidP="001F178E">
      <w:pPr>
        <w:pStyle w:val="ListParagraph"/>
        <w:numPr>
          <w:ilvl w:val="0"/>
          <w:numId w:val="1"/>
        </w:numPr>
        <w:spacing w:after="0" w:line="360" w:lineRule="auto"/>
        <w:ind w:left="0" w:hanging="357"/>
        <w:contextualSpacing w:val="0"/>
      </w:pPr>
      <w:r w:rsidRPr="00C77EE5">
        <w:t xml:space="preserve">Teachers should avoid using poor quality pens and </w:t>
      </w:r>
      <w:r w:rsidR="00F558D8" w:rsidRPr="00C77EE5">
        <w:t>light-coloured</w:t>
      </w:r>
      <w:r w:rsidRPr="00C77EE5">
        <w:t xml:space="preserve"> pens e.g. green</w:t>
      </w:r>
      <w:r w:rsidR="00835948">
        <w:t xml:space="preserve"> and </w:t>
      </w:r>
      <w:r w:rsidRPr="00C77EE5">
        <w:t>red on whiteboards as the</w:t>
      </w:r>
      <w:r>
        <w:t>se do not provide good contrast</w:t>
      </w:r>
    </w:p>
    <w:p w:rsidR="001F178E" w:rsidRDefault="00C47B8C" w:rsidP="001F178E">
      <w:pPr>
        <w:pStyle w:val="Heading6"/>
      </w:pPr>
      <w:r w:rsidRPr="00BA5F8D">
        <w:rPr>
          <w:rStyle w:val="Heading7Char"/>
        </w:rPr>
        <w:t>Trips</w:t>
      </w:r>
    </w:p>
    <w:p w:rsidR="00F102C6" w:rsidRDefault="00C47B8C" w:rsidP="00C47B8C">
      <w:pPr>
        <w:pStyle w:val="ListParagraph"/>
        <w:numPr>
          <w:ilvl w:val="0"/>
          <w:numId w:val="1"/>
        </w:numPr>
        <w:spacing w:after="0" w:line="360" w:lineRule="auto"/>
        <w:ind w:left="0"/>
        <w:contextualSpacing w:val="0"/>
      </w:pPr>
      <w:r w:rsidRPr="00E1599F">
        <w:t>For</w:t>
      </w:r>
      <w:r>
        <w:t xml:space="preserve"> school trips, contact the venue</w:t>
      </w:r>
      <w:r w:rsidRPr="00E1599F">
        <w:t xml:space="preserve"> in advance and advise</w:t>
      </w:r>
      <w:r>
        <w:t xml:space="preserve"> them</w:t>
      </w:r>
      <w:r w:rsidRPr="00E1599F">
        <w:t xml:space="preserve"> that a person with a vision impairment is attending and will require preferential positioning e.g. theatre, </w:t>
      </w:r>
      <w:r>
        <w:t>concert, et</w:t>
      </w:r>
      <w:r w:rsidR="00F102C6">
        <w:t>c.</w:t>
      </w:r>
    </w:p>
    <w:p w:rsidR="0014036B" w:rsidRPr="0014036B" w:rsidRDefault="0014036B" w:rsidP="0014036B">
      <w:pPr>
        <w:spacing w:after="0" w:line="360" w:lineRule="auto"/>
        <w:rPr>
          <w:b/>
          <w:bCs w:val="0"/>
          <w:sz w:val="32"/>
          <w:szCs w:val="32"/>
        </w:rPr>
      </w:pPr>
      <w:r w:rsidRPr="0014036B">
        <w:rPr>
          <w:b/>
          <w:bCs w:val="0"/>
          <w:sz w:val="32"/>
          <w:szCs w:val="32"/>
        </w:rPr>
        <w:t>Useful Contacts</w:t>
      </w:r>
    </w:p>
    <w:p w:rsidR="0014036B" w:rsidRPr="0014036B" w:rsidRDefault="0014036B" w:rsidP="0014036B">
      <w:pPr>
        <w:autoSpaceDE/>
        <w:autoSpaceDN/>
        <w:adjustRightInd/>
        <w:spacing w:after="0" w:line="252" w:lineRule="auto"/>
        <w:contextualSpacing/>
        <w:rPr>
          <w:b/>
          <w:color w:val="auto"/>
          <w:szCs w:val="28"/>
        </w:rPr>
      </w:pPr>
      <w:r w:rsidRPr="0014036B">
        <w:rPr>
          <w:b/>
          <w:color w:val="auto"/>
          <w:szCs w:val="28"/>
        </w:rPr>
        <w:t>EA Sensory Service</w:t>
      </w:r>
    </w:p>
    <w:p w:rsidR="0014036B" w:rsidRPr="0014036B" w:rsidRDefault="0014036B" w:rsidP="0014036B">
      <w:pPr>
        <w:autoSpaceDE/>
        <w:autoSpaceDN/>
        <w:adjustRightInd/>
        <w:spacing w:after="0" w:line="252" w:lineRule="auto"/>
        <w:contextualSpacing/>
        <w:rPr>
          <w:bCs w:val="0"/>
          <w:color w:val="auto"/>
          <w:szCs w:val="28"/>
        </w:rPr>
      </w:pPr>
      <w:r w:rsidRPr="0014036B">
        <w:rPr>
          <w:bCs w:val="0"/>
          <w:color w:val="auto"/>
          <w:szCs w:val="28"/>
        </w:rPr>
        <w:t xml:space="preserve">Tel: </w:t>
      </w:r>
      <w:r w:rsidRPr="0014036B">
        <w:rPr>
          <w:b/>
          <w:color w:val="auto"/>
          <w:szCs w:val="28"/>
          <w14:ligatures w14:val="standardContextual"/>
        </w:rPr>
        <w:t>028 9031 7777- Select Option 2</w:t>
      </w:r>
    </w:p>
    <w:p w:rsidR="0014036B" w:rsidRPr="0014036B" w:rsidRDefault="0014036B" w:rsidP="0014036B">
      <w:pPr>
        <w:autoSpaceDE/>
        <w:autoSpaceDN/>
        <w:adjustRightInd/>
        <w:spacing w:after="0" w:line="252" w:lineRule="auto"/>
        <w:contextualSpacing/>
        <w:rPr>
          <w:b/>
          <w:color w:val="auto"/>
          <w:szCs w:val="28"/>
        </w:rPr>
      </w:pPr>
      <w:r w:rsidRPr="0014036B">
        <w:rPr>
          <w:bCs w:val="0"/>
          <w:color w:val="auto"/>
          <w:szCs w:val="28"/>
        </w:rPr>
        <w:t>E:</w:t>
      </w:r>
      <w:r w:rsidRPr="0014036B">
        <w:rPr>
          <w:rFonts w:cstheme="minorBidi"/>
          <w:bCs w:val="0"/>
          <w:color w:val="auto"/>
          <w:szCs w:val="22"/>
        </w:rPr>
        <w:t xml:space="preserve"> </w:t>
      </w:r>
      <w:hyperlink r:id="rId13" w:history="1">
        <w:r w:rsidRPr="0014036B">
          <w:rPr>
            <w:b/>
            <w:color w:val="auto"/>
            <w:szCs w:val="28"/>
            <w:u w:val="single"/>
          </w:rPr>
          <w:t>sensoryservice@eani.org.uk</w:t>
        </w:r>
      </w:hyperlink>
    </w:p>
    <w:p w:rsidR="0014036B" w:rsidRDefault="0014036B" w:rsidP="0014036B">
      <w:pPr>
        <w:spacing w:after="0" w:line="360" w:lineRule="auto"/>
        <w:sectPr w:rsidR="0014036B" w:rsidSect="00126371">
          <w:footerReference w:type="default" r:id="rId14"/>
          <w:pgSz w:w="11906" w:h="16838"/>
          <w:pgMar w:top="1440" w:right="1440" w:bottom="1440" w:left="1440" w:header="708" w:footer="708" w:gutter="0"/>
          <w:cols w:space="708"/>
          <w:docGrid w:linePitch="381"/>
        </w:sectPr>
      </w:pPr>
      <w:r w:rsidRPr="0014036B">
        <w:rPr>
          <w:rFonts w:cstheme="minorBidi"/>
          <w:bCs w:val="0"/>
          <w:color w:val="auto"/>
          <w:szCs w:val="22"/>
        </w:rPr>
        <w:t xml:space="preserve">W: </w:t>
      </w:r>
      <w:hyperlink r:id="rId15" w:history="1">
        <w:r w:rsidRPr="0014036B">
          <w:rPr>
            <w:rFonts w:cstheme="minorBidi"/>
            <w:b/>
            <w:color w:val="auto"/>
            <w:szCs w:val="22"/>
            <w:u w:val="single"/>
            <w14:ligatures w14:val="standardContextual"/>
          </w:rPr>
          <w:t>Vision Impairment and Deafness | SEND Plan (eani.org.uk)</w:t>
        </w:r>
      </w:hyperlink>
    </w:p>
    <w:p w:rsidR="00C47B8C" w:rsidRDefault="00C47B8C" w:rsidP="00C47B8C">
      <w:pPr>
        <w:pStyle w:val="ListParagraph"/>
        <w:numPr>
          <w:ilvl w:val="0"/>
          <w:numId w:val="1"/>
        </w:numPr>
        <w:spacing w:after="0" w:line="360" w:lineRule="auto"/>
        <w:ind w:left="0"/>
        <w:contextualSpacing w:val="0"/>
        <w:sectPr w:rsidR="00C47B8C" w:rsidSect="00F102C6">
          <w:type w:val="continuous"/>
          <w:pgSz w:w="11906" w:h="16838" w:code="9"/>
          <w:pgMar w:top="1135" w:right="1080" w:bottom="0" w:left="1080" w:header="708" w:footer="708" w:gutter="0"/>
          <w:cols w:space="708"/>
          <w:docGrid w:linePitch="381"/>
        </w:sectPr>
      </w:pPr>
    </w:p>
    <w:p w:rsidR="00F102C6" w:rsidRPr="00C47B8C" w:rsidRDefault="000E7D76" w:rsidP="00C47B8C">
      <w:pPr>
        <w:spacing w:after="0" w:line="360" w:lineRule="auto"/>
      </w:pPr>
      <w:r>
        <w:rPr>
          <w:noProof/>
        </w:rPr>
        <w:drawing>
          <wp:inline distT="0" distB="0" distL="0" distR="0" wp14:anchorId="3DBF8D3A" wp14:editId="1329E4EC">
            <wp:extent cx="1250315" cy="723265"/>
            <wp:effectExtent l="0" t="0" r="6985" b="635"/>
            <wp:docPr id="1878655109" name="Picture 1" descr="A logo with blue and grey text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655109" name="Picture 1" descr="A logo with blue and grey text&#10;&#10;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1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02C6" w:rsidRPr="00C47B8C" w:rsidSect="00F102C6">
      <w:type w:val="continuous"/>
      <w:pgSz w:w="11906" w:h="16838" w:code="9"/>
      <w:pgMar w:top="1134" w:right="1077" w:bottom="0" w:left="107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7A28" w:rsidRDefault="00C77A28" w:rsidP="0077665A">
      <w:pPr>
        <w:spacing w:after="0" w:line="240" w:lineRule="auto"/>
      </w:pPr>
      <w:r>
        <w:separator/>
      </w:r>
    </w:p>
  </w:endnote>
  <w:endnote w:type="continuationSeparator" w:id="0">
    <w:p w:rsidR="00C77A28" w:rsidRDefault="00C77A28" w:rsidP="00776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18070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7665A" w:rsidRDefault="0077665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0EA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7665A" w:rsidRDefault="007766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7A28" w:rsidRDefault="00C77A28" w:rsidP="0077665A">
      <w:pPr>
        <w:spacing w:after="0" w:line="240" w:lineRule="auto"/>
      </w:pPr>
      <w:r>
        <w:separator/>
      </w:r>
    </w:p>
  </w:footnote>
  <w:footnote w:type="continuationSeparator" w:id="0">
    <w:p w:rsidR="00C77A28" w:rsidRDefault="00C77A28" w:rsidP="007766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07286"/>
    <w:multiLevelType w:val="hybridMultilevel"/>
    <w:tmpl w:val="B55C3E3A"/>
    <w:lvl w:ilvl="0" w:tplc="08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6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66" w:hanging="360"/>
      </w:pPr>
      <w:rPr>
        <w:rFonts w:ascii="Wingdings" w:hAnsi="Wingdings" w:hint="default"/>
      </w:rPr>
    </w:lvl>
  </w:abstractNum>
  <w:abstractNum w:abstractNumId="1" w15:restartNumberingAfterBreak="0">
    <w:nsid w:val="38803E6C"/>
    <w:multiLevelType w:val="hybridMultilevel"/>
    <w:tmpl w:val="4FD64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203C25"/>
    <w:multiLevelType w:val="hybridMultilevel"/>
    <w:tmpl w:val="0E784D5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FB38B1"/>
    <w:multiLevelType w:val="hybridMultilevel"/>
    <w:tmpl w:val="4EE4F99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FD5E94"/>
    <w:multiLevelType w:val="hybridMultilevel"/>
    <w:tmpl w:val="E1C01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8549162">
    <w:abstractNumId w:val="4"/>
  </w:num>
  <w:num w:numId="2" w16cid:durableId="1440680043">
    <w:abstractNumId w:val="0"/>
  </w:num>
  <w:num w:numId="3" w16cid:durableId="2062747708">
    <w:abstractNumId w:val="2"/>
  </w:num>
  <w:num w:numId="4" w16cid:durableId="1554006584">
    <w:abstractNumId w:val="3"/>
  </w:num>
  <w:num w:numId="5" w16cid:durableId="614941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65A"/>
    <w:rsid w:val="000E7D76"/>
    <w:rsid w:val="00126371"/>
    <w:rsid w:val="0014036B"/>
    <w:rsid w:val="001724C0"/>
    <w:rsid w:val="001A0201"/>
    <w:rsid w:val="001C727A"/>
    <w:rsid w:val="001F178E"/>
    <w:rsid w:val="002347C3"/>
    <w:rsid w:val="00250870"/>
    <w:rsid w:val="002654CA"/>
    <w:rsid w:val="002861A6"/>
    <w:rsid w:val="00374EEF"/>
    <w:rsid w:val="00380ED9"/>
    <w:rsid w:val="0039196A"/>
    <w:rsid w:val="003C544B"/>
    <w:rsid w:val="003D1FD9"/>
    <w:rsid w:val="003E2910"/>
    <w:rsid w:val="00576C8D"/>
    <w:rsid w:val="005D1262"/>
    <w:rsid w:val="005D62B3"/>
    <w:rsid w:val="006258D9"/>
    <w:rsid w:val="00695C72"/>
    <w:rsid w:val="006F5AB1"/>
    <w:rsid w:val="00713CB1"/>
    <w:rsid w:val="00734FFC"/>
    <w:rsid w:val="0077665A"/>
    <w:rsid w:val="0078776F"/>
    <w:rsid w:val="007A2814"/>
    <w:rsid w:val="00802183"/>
    <w:rsid w:val="00835948"/>
    <w:rsid w:val="008368F0"/>
    <w:rsid w:val="00885E25"/>
    <w:rsid w:val="008B7774"/>
    <w:rsid w:val="008C0315"/>
    <w:rsid w:val="009B6447"/>
    <w:rsid w:val="00A11C20"/>
    <w:rsid w:val="00B64CC1"/>
    <w:rsid w:val="00BA5F8D"/>
    <w:rsid w:val="00BD4410"/>
    <w:rsid w:val="00C23D11"/>
    <w:rsid w:val="00C47B8C"/>
    <w:rsid w:val="00C50EAD"/>
    <w:rsid w:val="00C77A28"/>
    <w:rsid w:val="00C77EE5"/>
    <w:rsid w:val="00CE289D"/>
    <w:rsid w:val="00D0362F"/>
    <w:rsid w:val="00DB648A"/>
    <w:rsid w:val="00E457A7"/>
    <w:rsid w:val="00E90D6D"/>
    <w:rsid w:val="00F102C6"/>
    <w:rsid w:val="00F25DFB"/>
    <w:rsid w:val="00F505F9"/>
    <w:rsid w:val="00F558D8"/>
    <w:rsid w:val="00F720D0"/>
    <w:rsid w:val="00F9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59B66"/>
  <w15:chartTrackingRefBased/>
  <w15:docId w15:val="{21870CC9-40EB-4586-929E-09D04FC10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65A"/>
    <w:pPr>
      <w:autoSpaceDE w:val="0"/>
      <w:autoSpaceDN w:val="0"/>
      <w:adjustRightInd w:val="0"/>
      <w:spacing w:after="120" w:line="276" w:lineRule="auto"/>
    </w:pPr>
    <w:rPr>
      <w:rFonts w:ascii="Arial" w:hAnsi="Arial" w:cs="Arial"/>
      <w:bCs/>
      <w:color w:val="000000"/>
      <w:sz w:val="28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0ED9"/>
    <w:pPr>
      <w:keepNext/>
      <w:keepLines/>
      <w:spacing w:before="240" w:after="0"/>
      <w:outlineLvl w:val="0"/>
    </w:pPr>
    <w:rPr>
      <w:rFonts w:eastAsiaTheme="majorEastAsia" w:cstheme="majorBidi"/>
      <w:b/>
      <w:sz w:val="40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0ED9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000000" w:themeColor="text1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0ED9"/>
    <w:pPr>
      <w:keepNext/>
      <w:keepLines/>
      <w:spacing w:before="40" w:after="0"/>
      <w:outlineLvl w:val="2"/>
    </w:pPr>
    <w:rPr>
      <w:rFonts w:eastAsiaTheme="majorEastAsia" w:cstheme="majorBidi"/>
      <w:b/>
      <w:sz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A5F8D"/>
    <w:pPr>
      <w:keepNext/>
      <w:keepLines/>
      <w:spacing w:before="40" w:after="0"/>
      <w:outlineLvl w:val="3"/>
    </w:pPr>
    <w:rPr>
      <w:rFonts w:eastAsiaTheme="majorEastAsia" w:cstheme="majorBidi"/>
      <w:b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80ED9"/>
    <w:pPr>
      <w:keepNext/>
      <w:keepLines/>
      <w:spacing w:before="40" w:after="0"/>
      <w:outlineLvl w:val="4"/>
    </w:pPr>
    <w:rPr>
      <w:rFonts w:eastAsiaTheme="majorEastAsia" w:cstheme="majorBidi"/>
      <w:b/>
      <w:sz w:val="3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80ED9"/>
    <w:pPr>
      <w:keepNext/>
      <w:keepLines/>
      <w:spacing w:before="40" w:after="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80ED9"/>
    <w:pPr>
      <w:keepNext/>
      <w:keepLines/>
      <w:spacing w:before="40" w:after="0"/>
      <w:outlineLvl w:val="6"/>
    </w:pPr>
    <w:rPr>
      <w:rFonts w:eastAsiaTheme="majorEastAsia" w:cstheme="majorBidi"/>
      <w:b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80ED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0ED9"/>
    <w:rPr>
      <w:rFonts w:ascii="Arial" w:eastAsiaTheme="majorEastAsia" w:hAnsi="Arial" w:cstheme="majorBidi"/>
      <w:b/>
      <w:sz w:val="40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380ED9"/>
    <w:rPr>
      <w:rFonts w:ascii="Arial" w:eastAsiaTheme="majorEastAsia" w:hAnsi="Arial" w:cstheme="majorBidi"/>
      <w:color w:val="000000" w:themeColor="text1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80ED9"/>
    <w:rPr>
      <w:rFonts w:ascii="Arial" w:eastAsiaTheme="majorEastAsia" w:hAnsi="Arial" w:cstheme="majorBidi"/>
      <w:b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A5F8D"/>
    <w:rPr>
      <w:rFonts w:ascii="Arial" w:eastAsiaTheme="majorEastAsia" w:hAnsi="Arial" w:cstheme="majorBidi"/>
      <w:b/>
      <w:bCs/>
      <w:iCs/>
      <w:color w:val="000000"/>
      <w:sz w:val="36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380ED9"/>
    <w:rPr>
      <w:rFonts w:ascii="Arial" w:eastAsiaTheme="majorEastAsia" w:hAnsi="Arial" w:cstheme="majorBidi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rsid w:val="00380ED9"/>
    <w:rPr>
      <w:rFonts w:ascii="Arial" w:eastAsiaTheme="majorEastAsia" w:hAnsi="Arial" w:cstheme="majorBidi"/>
      <w:b/>
      <w:iCs/>
      <w:color w:val="000000" w:themeColor="text1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rsid w:val="00380ED9"/>
    <w:rPr>
      <w:rFonts w:ascii="Arial" w:eastAsiaTheme="majorEastAsia" w:hAnsi="Arial" w:cstheme="majorBidi"/>
      <w:color w:val="272727" w:themeColor="text1" w:themeTint="D8"/>
      <w:sz w:val="24"/>
      <w:szCs w:val="21"/>
    </w:rPr>
  </w:style>
  <w:style w:type="character" w:customStyle="1" w:styleId="Heading5Char">
    <w:name w:val="Heading 5 Char"/>
    <w:basedOn w:val="DefaultParagraphFont"/>
    <w:link w:val="Heading5"/>
    <w:uiPriority w:val="9"/>
    <w:rsid w:val="00380ED9"/>
    <w:rPr>
      <w:rFonts w:ascii="Arial" w:eastAsiaTheme="majorEastAsia" w:hAnsi="Arial" w:cstheme="majorBidi"/>
      <w:b/>
      <w:sz w:val="32"/>
    </w:rPr>
  </w:style>
  <w:style w:type="paragraph" w:styleId="ListParagraph">
    <w:name w:val="List Paragraph"/>
    <w:basedOn w:val="Normal"/>
    <w:uiPriority w:val="34"/>
    <w:qFormat/>
    <w:rsid w:val="00380ED9"/>
    <w:pPr>
      <w:spacing w:line="252" w:lineRule="auto"/>
      <w:ind w:left="720"/>
      <w:contextualSpacing/>
    </w:pPr>
    <w:rPr>
      <w:szCs w:val="28"/>
    </w:rPr>
  </w:style>
  <w:style w:type="character" w:styleId="Hyperlink">
    <w:name w:val="Hyperlink"/>
    <w:basedOn w:val="DefaultParagraphFont"/>
    <w:uiPriority w:val="99"/>
    <w:unhideWhenUsed/>
    <w:rsid w:val="0077665A"/>
    <w:rPr>
      <w:color w:val="0000FF"/>
      <w:u w:val="single"/>
    </w:rPr>
  </w:style>
  <w:style w:type="paragraph" w:customStyle="1" w:styleId="Default">
    <w:name w:val="Default"/>
    <w:rsid w:val="007766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766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65A"/>
    <w:rPr>
      <w:rFonts w:ascii="Arial" w:hAnsi="Arial" w:cs="Arial"/>
      <w:bCs/>
      <w:color w:val="000000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7766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65A"/>
    <w:rPr>
      <w:rFonts w:ascii="Arial" w:hAnsi="Arial" w:cs="Arial"/>
      <w:bCs/>
      <w:color w:val="00000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sensoryservice@eani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www.ulster.ac.uk/__data/assets/pdf_file/0009/168426/letters-618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lster.ac.uk/__data/assets/pdf_file/0004/168439/Pictures-618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end.eani.org.uk/support-services/vision-impairment-and-deafness" TargetMode="External"/><Relationship Id="rId10" Type="http://schemas.openxmlformats.org/officeDocument/2006/relationships/hyperlink" Target="https://www.ulster.ac.uk/__data/assets/pdf_file/0003/168438/Pictures-612.pdf" TargetMode="External"/><Relationship Id="rId4" Type="http://schemas.openxmlformats.org/officeDocument/2006/relationships/webSettings" Target="webSettings.xml"/><Relationship Id="rId9" Type="http://schemas.openxmlformats.org/officeDocument/2006/relationships/image" Target="cid:image002.png@01DCC805.CFF872F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a695096-f56b-42aa-ab88-b69794bfa0c4}" enabled="0" method="" siteId="{4a695096-f56b-42aa-ab88-b69794bfa0c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1069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EANI</Company>
  <LinksUpToDate>false</LinksUpToDate>
  <CharactersWithSpaces>7149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Heatley</dc:creator>
  <cp:keywords/>
  <dc:description/>
  <cp:lastModifiedBy>Siobhan Rafferty</cp:lastModifiedBy>
  <cp:revision>1</cp:revision>
  <dcterms:created xsi:type="dcterms:W3CDTF">2026-05-22T11:50:00Z</dcterms:created>
  <dcterms:modified xsi:type="dcterms:W3CDTF">2026-05-22T11:50:00Z</dcterms:modified>
</cp:coreProperties>
</file>